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Research &amp; Publication Portfolio</w:t>
      </w:r>
    </w:p>
    <w:p>
      <w:pPr>
        <w:pStyle w:val="Subtitle"/>
        <w:jc w:val="center"/>
      </w:pPr>
      <w:r>
        <w:t>Evidence, policy relevance, open scholarship and institutional transformation</w:t>
      </w:r>
    </w:p>
    <w:p>
      <w:pPr>
        <w:jc w:val="center"/>
      </w:pPr>
      <w:r>
        <w:rPr>
          <w:b/>
          <w:color w:val="D4A72C"/>
          <w:sz w:val="24"/>
        </w:rPr>
        <w:t>LEARN. QUALIFY. LEAD.</w:t>
      </w:r>
    </w:p>
    <w:p>
      <w:pPr>
        <w:ind w:left="720" w:right="720"/>
        <w:jc w:val="center"/>
      </w:pPr>
      <w:r>
        <w:rPr>
          <w:i/>
          <w:color w:val="5B6777"/>
          <w:sz w:val="21"/>
        </w:rPr>
        <w:t>A portfolio framework for RIYAADA research programmes, journals, working papers, policy products, ethics, editorial governance and impact.</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RIY-RES-PORT-011</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Research &amp; Publication Portfolio</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RIY-RES-PORT-011</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Portfolio positioning</w:t>
      </w:r>
    </w:p>
    <w:p>
      <w:r>
        <w:t>RIYAADA produces, publishes and translates evidence that strengthens leadership, governance, health systems, peace, education and sustainable development in fragile, emerging and Global South contexts. The portfolio connects applied institutional research, scholarly publishing, policy dialogue, executive learning and practical reform.</w:t>
      </w:r>
    </w:p>
    <w:tbl>
      <w:tblPr>
        <w:tblW w:type="auto" w:w="0"/>
        <w:jc w:val="center"/>
        <w:tblLayout w:type="fixed"/>
        <w:tblLook w:firstColumn="1" w:firstRow="1" w:lastColumn="0" w:lastRow="0" w:noHBand="0" w:noVBand="1" w:val="04A0"/>
      </w:tblPr>
      <w:tblGrid>
        <w:gridCol w:w="4917"/>
        <w:gridCol w:w="4917"/>
      </w:tblGrid>
      <w:tr>
        <w:tc>
          <w:tcPr>
            <w:tcW w:type="dxa" w:w="187"/>
            <w:shd w:fill="0F8B8D"/>
            <w:tcMar>
              <w:top w:w="90" w:type="dxa"/>
              <w:start w:w="100" w:type="dxa"/>
              <w:bottom w:w="90" w:type="dxa"/>
              <w:end w:w="100" w:type="dxa"/>
            </w:tcMar>
          </w:tcPr>
          <w:p/>
        </w:tc>
        <w:tc>
          <w:tcPr>
            <w:tcW w:type="dxa" w:w="9288"/>
            <w:shd w:fill="EFF7F8"/>
            <w:tcMar>
              <w:top w:w="90" w:type="dxa"/>
              <w:start w:w="100" w:type="dxa"/>
              <w:bottom w:w="90" w:type="dxa"/>
              <w:end w:w="100" w:type="dxa"/>
            </w:tcMar>
          </w:tcPr>
          <w:p>
            <w:pPr>
              <w:spacing w:after="40"/>
            </w:pPr>
            <w:r>
              <w:rPr>
                <w:b/>
                <w:color w:val="0F8B8D"/>
                <w:sz w:val="18"/>
              </w:rPr>
              <w:t>ROOTED IN SOMALIA. OPEN TO THE WORLD.</w:t>
            </w:r>
          </w:p>
          <w:p>
            <w:pPr>
              <w:spacing w:after="0"/>
            </w:pPr>
            <w:r>
              <w:rPr>
                <w:color w:val="17202A"/>
                <w:sz w:val="18"/>
              </w:rPr>
              <w:t>Research quality combines contextual relevance, methodological rigour, ethical practice, editorial independence, open knowledge and measurable policy or institutional use.</w:t>
            </w:r>
          </w:p>
        </w:tc>
      </w:tr>
    </w:tbl>
    <w:p>
      <w:pPr>
        <w:spacing w:after="0"/>
      </w:pPr>
    </w:p>
    <w:p>
      <w:pPr>
        <w:pStyle w:val="Heading1"/>
      </w:pPr>
      <w:r>
        <w:t>Research mission, vision and values</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180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Dimension</w:t>
            </w:r>
          </w:p>
        </w:tc>
        <w:tc>
          <w:tcPr>
            <w:tcW w:type="dxa" w:w="767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Statement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Mission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Bridge the gap between academic research and practical policy implementation through rigorous, open and actionable evidence.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Vision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Become a leading platform where evidence strengthens resilient institutions and knowledge-driven societies across the Global South.</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Values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rigour; integrity; open access; policy relevance; contextual nuance; equity; independence; impact.</w:t>
            </w:r>
          </w:p>
        </w:tc>
      </w:tr>
    </w:tbl>
    <w:p>
      <w:pPr>
        <w:spacing w:after="0"/>
      </w:pPr>
    </w:p>
    <w:p>
      <w:pPr>
        <w:pStyle w:val="Heading1"/>
      </w:pPr>
      <w:r>
        <w:t>Thematic portfolio</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Theme</w:t>
            </w:r>
          </w:p>
        </w:tc>
        <w:tc>
          <w:tcPr>
            <w:tcW w:type="dxa" w:w="695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Illustrative questions and outputs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Leadership and institutional transformation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Executive leadership, organisational culture, capability, ethics, performance and reform implementation.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Governance and public administration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State capacity, accountability, public policy, federalism, civil service, public finance and anti-corruption.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Health systems and UHC</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Financing, quality, workforce, service delivery, patient safety, resilience, digital health and emergency preparedness.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Peacebuilding and social cohesion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Civic education, inclusion, trust, mediation, youth, displacement and community resilience.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Education and human capital</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Leadership, workforce capability, lifelong learning, access, quality and education-system development.</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Sustainable development and public policy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Climate, cities, social protection, population, equity, digital transformation and implementation science.</w:t>
            </w:r>
          </w:p>
        </w:tc>
      </w:tr>
    </w:tbl>
    <w:p>
      <w:pPr>
        <w:spacing w:after="0"/>
      </w:pPr>
    </w:p>
    <w:p>
      <w:pPr>
        <w:pStyle w:val="Heading1"/>
      </w:pPr>
      <w:r>
        <w:t>Publication and knowledge-product architecture</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08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Product</w:t>
            </w:r>
          </w:p>
        </w:tc>
        <w:tc>
          <w:tcPr>
            <w:tcW w:type="dxa" w:w="400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Purpose</w:t>
            </w:r>
          </w:p>
        </w:tc>
        <w:tc>
          <w:tcPr>
            <w:tcW w:type="dxa" w:w="33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Quality status / route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Peer-reviewed research article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Original empirical or conceptual scholarship.</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Editorial screening and double-blind review, normally 2–3 reviewers.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Review article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Synthesis of evidence with transparent method.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Peer review and methodological appraisal.</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Policy brief</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Concise problem, evidence, options and actionable recommendation.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Internal technical/policy review; references and disclosure.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Working paper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Pre-publication research for discussion and feedback.</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Clearly labelled as not yet formally peer reviewed.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Technical report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Detailed institutional, programme or commissioned research.</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Terms of reference, method, quality review and approvals.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Case study / field note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Context-rich practice, implementation or institutional learning.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Ethics/confidentiality and editorial quality review.</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RIYAADA Insight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Accessible commentary, reflection or knowledge translation.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Editorial review; distinction from peer-reviewed research.</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Dataset / tool / framework</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Reusable evidence, instrument, model or implementation resource.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Documentation, provenance, licence, ethics and version control.</w:t>
            </w:r>
          </w:p>
        </w:tc>
      </w:tr>
    </w:tbl>
    <w:p>
      <w:pPr>
        <w:spacing w:after="0"/>
      </w:pPr>
    </w:p>
    <w:p>
      <w:pPr>
        <w:pStyle w:val="Heading1"/>
      </w:pPr>
      <w:r>
        <w:t>Research lifecycle</w:t>
      </w:r>
    </w:p>
    <w:tbl>
      <w:tblPr>
        <w:tblW w:type="auto" w:w="0"/>
        <w:jc w:val="center"/>
        <w:tblLayout w:type="fixed"/>
        <w:tblLook w:firstColumn="1" w:firstRow="1" w:lastColumn="0" w:lastRow="0" w:noHBand="0" w:noVBand="1" w:val="04A0"/>
      </w:tblPr>
      <w:tblGrid>
        <w:gridCol w:w="1093"/>
        <w:gridCol w:w="1093"/>
        <w:gridCol w:w="1093"/>
        <w:gridCol w:w="1093"/>
        <w:gridCol w:w="1093"/>
        <w:gridCol w:w="1093"/>
        <w:gridCol w:w="1093"/>
        <w:gridCol w:w="1093"/>
        <w:gridCol w:w="1093"/>
      </w:tblGrid>
      <w:tr>
        <w:tc>
          <w:tcPr>
            <w:tcW w:type="dxa" w:w="1053"/>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Prioritise</w:t>
            </w:r>
          </w:p>
          <w:p>
            <w:pPr>
              <w:spacing w:after="0"/>
              <w:jc w:val="center"/>
            </w:pPr>
            <w:r>
              <w:rPr>
                <w:color w:val="5B6777"/>
                <w:sz w:val="14"/>
              </w:rPr>
              <w:t>Need and strategic fit</w:t>
            </w:r>
          </w:p>
        </w:tc>
        <w:tc>
          <w:tcPr>
            <w:tcW w:type="dxa" w:w="1053"/>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Concept</w:t>
            </w:r>
          </w:p>
          <w:p>
            <w:pPr>
              <w:spacing w:after="0"/>
              <w:jc w:val="center"/>
            </w:pPr>
            <w:r>
              <w:rPr>
                <w:color w:val="5B6777"/>
                <w:sz w:val="14"/>
              </w:rPr>
              <w:t>Question and users</w:t>
            </w:r>
          </w:p>
        </w:tc>
        <w:tc>
          <w:tcPr>
            <w:tcW w:type="dxa" w:w="1053"/>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Protocol</w:t>
            </w:r>
          </w:p>
          <w:p>
            <w:pPr>
              <w:spacing w:after="0"/>
              <w:jc w:val="center"/>
            </w:pPr>
            <w:r>
              <w:rPr>
                <w:color w:val="5B6777"/>
                <w:sz w:val="14"/>
              </w:rPr>
              <w:t>Method, ethics and data</w:t>
            </w:r>
          </w:p>
        </w:tc>
        <w:tc>
          <w:tcPr>
            <w:tcW w:type="dxa" w:w="1053"/>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Conduct</w:t>
            </w:r>
          </w:p>
          <w:p>
            <w:pPr>
              <w:spacing w:after="0"/>
              <w:jc w:val="center"/>
            </w:pPr>
            <w:r>
              <w:rPr>
                <w:color w:val="5B6777"/>
                <w:sz w:val="14"/>
              </w:rPr>
              <w:t>Quality and safeguarding</w:t>
            </w:r>
          </w:p>
        </w:tc>
        <w:tc>
          <w:tcPr>
            <w:tcW w:type="dxa" w:w="1053"/>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Analyse</w:t>
            </w:r>
          </w:p>
          <w:p>
            <w:pPr>
              <w:spacing w:after="0"/>
              <w:jc w:val="center"/>
            </w:pPr>
            <w:r>
              <w:rPr>
                <w:color w:val="5B6777"/>
                <w:sz w:val="14"/>
              </w:rPr>
              <w:t>Transparent interpretation</w:t>
            </w:r>
          </w:p>
        </w:tc>
        <w:tc>
          <w:tcPr>
            <w:tcW w:type="dxa" w:w="1053"/>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Review</w:t>
            </w:r>
          </w:p>
          <w:p>
            <w:pPr>
              <w:spacing w:after="0"/>
              <w:jc w:val="center"/>
            </w:pPr>
            <w:r>
              <w:rPr>
                <w:color w:val="5B6777"/>
                <w:sz w:val="14"/>
              </w:rPr>
              <w:t>Technical / peer review</w:t>
            </w:r>
          </w:p>
        </w:tc>
        <w:tc>
          <w:tcPr>
            <w:tcW w:type="dxa" w:w="1053"/>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Publish</w:t>
            </w:r>
          </w:p>
          <w:p>
            <w:pPr>
              <w:spacing w:after="0"/>
              <w:jc w:val="center"/>
            </w:pPr>
            <w:r>
              <w:rPr>
                <w:color w:val="5B6777"/>
                <w:sz w:val="14"/>
              </w:rPr>
              <w:t>Licence and identifiers</w:t>
            </w:r>
          </w:p>
        </w:tc>
        <w:tc>
          <w:tcPr>
            <w:tcW w:type="dxa" w:w="1053"/>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Translate</w:t>
            </w:r>
          </w:p>
          <w:p>
            <w:pPr>
              <w:spacing w:after="0"/>
              <w:jc w:val="center"/>
            </w:pPr>
            <w:r>
              <w:rPr>
                <w:color w:val="5B6777"/>
                <w:sz w:val="14"/>
              </w:rPr>
              <w:t>Policy and practice</w:t>
            </w:r>
          </w:p>
        </w:tc>
        <w:tc>
          <w:tcPr>
            <w:tcW w:type="dxa" w:w="1053"/>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9</w:t>
            </w:r>
          </w:p>
          <w:p>
            <w:pPr>
              <w:spacing w:after="40"/>
              <w:jc w:val="center"/>
            </w:pPr>
            <w:r>
              <w:rPr>
                <w:b/>
                <w:color w:val="0B1F3A"/>
                <w:sz w:val="17"/>
              </w:rPr>
              <w:t>Evaluate</w:t>
            </w:r>
          </w:p>
          <w:p>
            <w:pPr>
              <w:spacing w:after="0"/>
              <w:jc w:val="center"/>
            </w:pPr>
            <w:r>
              <w:rPr>
                <w:color w:val="5B6777"/>
                <w:sz w:val="14"/>
              </w:rPr>
              <w:t>Use and impact</w:t>
            </w:r>
          </w:p>
        </w:tc>
      </w:tr>
    </w:tbl>
    <w:p>
      <w:pPr>
        <w:pStyle w:val="Heading1"/>
      </w:pPr>
      <w:r>
        <w:t>Research governance</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66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Body / role</w:t>
            </w:r>
          </w:p>
        </w:tc>
        <w:tc>
          <w:tcPr>
            <w:tcW w:type="dxa" w:w="681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Accountability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Governing Board / executive leadership</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Strategic priorities, institutional risk, independence and resource stewardship.</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Research Governance Committee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Protocol quality, ethics route, conflicts, data governance, monitoring and closure.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Research Unit / principal investigator</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Design, approvals, team competence, conduct, data, analysis, reporting and dissemination.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Editorial Board</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Independent editorial policy, scope, peer review, decisions, corrections and publication ethics.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Editor-in-Chief / editors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Manuscript decisions, reviewer selection, confidentiality and process quality.</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Data steward</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Access, security, metadata, retention, sharing and disposal.</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Partners / funders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Agreed role, transparency and respect for academic/editorial independence.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Communities / participants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Informed engagement, safety, privacy, benefit and accessible communication where appropriate.</w:t>
            </w:r>
          </w:p>
        </w:tc>
      </w:tr>
    </w:tbl>
    <w:p>
      <w:pPr>
        <w:spacing w:after="0"/>
      </w:pPr>
    </w:p>
    <w:p>
      <w:pPr>
        <w:pStyle w:val="Heading1"/>
      </w:pPr>
      <w:r>
        <w:t>Research proposal and protocol template</w:t>
      </w:r>
    </w:p>
    <w:p>
      <w:pPr>
        <w:spacing w:after="40"/>
      </w:pPr>
      <w:r>
        <w:rPr>
          <w:b/>
          <w:color w:val="0B1F3A"/>
        </w:rPr>
        <w:t>Project title and reference</w:t>
      </w:r>
      <w:r>
        <w:rPr>
          <w:i/>
          <w:color w:val="5B6777"/>
          <w:sz w:val="16"/>
        </w:rPr>
        <w:t xml:space="preserve">  Controlled research register ID.</w:t>
      </w:r>
    </w:p>
    <w:p>
      <w:pPr>
        <w:spacing w:after="40"/>
      </w:pPr>
      <w:r>
        <w:rPr>
          <w:color w:val="D9E2EC"/>
        </w:rPr>
        <w:t>________________________________________________________________________________</w:t>
      </w:r>
    </w:p>
    <w:p>
      <w:pPr>
        <w:spacing w:after="40"/>
      </w:pPr>
      <w:r>
        <w:rPr>
          <w:b/>
          <w:color w:val="0B1F3A"/>
        </w:rPr>
        <w:t>Principal investigator, team and affiliations</w:t>
      </w:r>
      <w:r>
        <w:rPr>
          <w:i/>
          <w:color w:val="5B6777"/>
          <w:sz w:val="16"/>
        </w:rPr>
        <w:t xml:space="preserve">  Include roles, competence and conflicts.</w:t>
      </w:r>
    </w:p>
    <w:p>
      <w:pPr>
        <w:spacing w:after="40"/>
      </w:pPr>
      <w:r>
        <w:rPr>
          <w:color w:val="D9E2EC"/>
        </w:rPr>
        <w:t>________________________________________________________________________________</w:t>
      </w:r>
    </w:p>
    <w:p>
      <w:pPr>
        <w:spacing w:after="40"/>
      </w:pPr>
      <w:r>
        <w:rPr>
          <w:b/>
          <w:color w:val="0B1F3A"/>
        </w:rPr>
        <w:t>Problem, users and policy/institutional relevance</w:t>
      </w:r>
      <w:r>
        <w:rPr>
          <w:i/>
          <w:color w:val="5B6777"/>
          <w:sz w:val="16"/>
        </w:rPr>
        <w:t xml:space="preserve">  Identify intended decisions and beneficiaries.</w:t>
      </w:r>
    </w:p>
    <w:p>
      <w:pPr>
        <w:spacing w:after="40"/>
      </w:pPr>
      <w:r>
        <w:rPr>
          <w:color w:val="D9E2EC"/>
        </w:rPr>
        <w:t>________________________________________________________________________________</w:t>
      </w:r>
    </w:p>
    <w:p>
      <w:pPr>
        <w:spacing w:after="40"/>
      </w:pPr>
      <w:r>
        <w:rPr>
          <w:b/>
          <w:color w:val="0B1F3A"/>
        </w:rPr>
        <w:t>Research question, objectives and theory of change</w:t>
      </w:r>
      <w:r>
        <w:rPr>
          <w:i/>
          <w:color w:val="5B6777"/>
          <w:sz w:val="16"/>
        </w:rPr>
        <w:t xml:space="preserve">  Ensure answerable and coherent.</w:t>
      </w:r>
    </w:p>
    <w:p>
      <w:pPr>
        <w:spacing w:after="40"/>
      </w:pPr>
      <w:r>
        <w:rPr>
          <w:color w:val="D9E2EC"/>
        </w:rPr>
        <w:t>________________________________________________________________________________</w:t>
      </w:r>
    </w:p>
    <w:p>
      <w:pPr>
        <w:spacing w:after="40"/>
      </w:pPr>
      <w:r>
        <w:rPr>
          <w:b/>
          <w:color w:val="0B1F3A"/>
        </w:rPr>
        <w:t>Design, setting, population, sample and methods</w:t>
      </w:r>
      <w:r>
        <w:rPr>
          <w:i/>
          <w:color w:val="5B6777"/>
          <w:sz w:val="16"/>
        </w:rPr>
        <w:t xml:space="preserve">  Justify choices and limitations.</w:t>
      </w:r>
    </w:p>
    <w:p>
      <w:pPr>
        <w:spacing w:after="40"/>
      </w:pPr>
      <w:r>
        <w:rPr>
          <w:color w:val="D9E2EC"/>
        </w:rPr>
        <w:t>________________________________________________________________________________</w:t>
      </w:r>
    </w:p>
    <w:p>
      <w:pPr>
        <w:spacing w:after="40"/>
      </w:pPr>
      <w:r>
        <w:rPr>
          <w:b/>
          <w:color w:val="0B1F3A"/>
        </w:rPr>
        <w:t>Ethics, safeguarding and participant engagement</w:t>
      </w:r>
      <w:r>
        <w:rPr>
          <w:i/>
          <w:color w:val="5B6777"/>
          <w:sz w:val="16"/>
        </w:rPr>
        <w:t xml:space="preserve">  State review/approval route and consent.</w:t>
      </w:r>
    </w:p>
    <w:p>
      <w:pPr>
        <w:spacing w:after="40"/>
      </w:pPr>
      <w:r>
        <w:rPr>
          <w:color w:val="D9E2EC"/>
        </w:rPr>
        <w:t>________________________________________________________________________________</w:t>
      </w:r>
    </w:p>
    <w:p>
      <w:pPr>
        <w:spacing w:after="40"/>
      </w:pPr>
      <w:r>
        <w:rPr>
          <w:b/>
          <w:color w:val="0B1F3A"/>
        </w:rPr>
        <w:t>Data management and security</w:t>
      </w:r>
      <w:r>
        <w:rPr>
          <w:i/>
          <w:color w:val="5B6777"/>
          <w:sz w:val="16"/>
        </w:rPr>
        <w:t xml:space="preserve">  Collection, access, quality, retention, sharing and disposal.</w:t>
      </w:r>
    </w:p>
    <w:p>
      <w:pPr>
        <w:spacing w:after="40"/>
      </w:pPr>
      <w:r>
        <w:rPr>
          <w:color w:val="D9E2EC"/>
        </w:rPr>
        <w:t>________________________________________________________________________________</w:t>
      </w:r>
    </w:p>
    <w:p>
      <w:pPr>
        <w:spacing w:after="40"/>
      </w:pPr>
      <w:r>
        <w:rPr>
          <w:b/>
          <w:color w:val="0B1F3A"/>
        </w:rPr>
        <w:t>Analysis and interpretation plan</w:t>
      </w:r>
      <w:r>
        <w:rPr>
          <w:i/>
          <w:color w:val="5B6777"/>
          <w:sz w:val="16"/>
        </w:rPr>
        <w:t xml:space="preserve">  Pre-specify key methods and disaggregation.</w:t>
      </w:r>
    </w:p>
    <w:p>
      <w:pPr>
        <w:spacing w:after="40"/>
      </w:pPr>
      <w:r>
        <w:rPr>
          <w:color w:val="D9E2EC"/>
        </w:rPr>
        <w:t>________________________________________________________________________________</w:t>
      </w:r>
    </w:p>
    <w:p>
      <w:pPr>
        <w:spacing w:after="40"/>
      </w:pPr>
      <w:r>
        <w:rPr>
          <w:b/>
          <w:color w:val="0B1F3A"/>
        </w:rPr>
        <w:t>Risks, mitigation and incident escalation</w:t>
      </w:r>
      <w:r>
        <w:rPr>
          <w:i/>
          <w:color w:val="5B6777"/>
          <w:sz w:val="16"/>
        </w:rPr>
        <w:t xml:space="preserve">  Include field, security, reputational and partner risks.</w:t>
      </w:r>
    </w:p>
    <w:p>
      <w:pPr>
        <w:spacing w:after="40"/>
      </w:pPr>
      <w:r>
        <w:rPr>
          <w:color w:val="D9E2EC"/>
        </w:rPr>
        <w:t>________________________________________________________________________________</w:t>
      </w:r>
    </w:p>
    <w:p>
      <w:pPr>
        <w:spacing w:after="40"/>
      </w:pPr>
      <w:r>
        <w:rPr>
          <w:b/>
          <w:color w:val="0B1F3A"/>
        </w:rPr>
        <w:t>Outputs, authorship, publication and knowledge translation</w:t>
      </w:r>
      <w:r>
        <w:rPr>
          <w:i/>
          <w:color w:val="5B6777"/>
          <w:sz w:val="16"/>
        </w:rPr>
        <w:t xml:space="preserve">  Define contribution, licensing and audience products.</w:t>
      </w:r>
    </w:p>
    <w:p>
      <w:pPr>
        <w:spacing w:after="40"/>
      </w:pPr>
      <w:r>
        <w:rPr>
          <w:color w:val="D9E2EC"/>
        </w:rPr>
        <w:t>________________________________________________________________________________</w:t>
      </w:r>
    </w:p>
    <w:p>
      <w:pPr>
        <w:spacing w:after="40"/>
      </w:pPr>
      <w:r>
        <w:rPr>
          <w:b/>
          <w:color w:val="0B1F3A"/>
        </w:rPr>
        <w:t>Budget, timeline, milestones and responsibilities</w:t>
      </w:r>
      <w:r>
        <w:rPr>
          <w:i/>
          <w:color w:val="5B6777"/>
          <w:sz w:val="16"/>
        </w:rPr>
        <w:t xml:space="preserve">  Link resources to feasibility.</w:t>
      </w:r>
    </w:p>
    <w:p>
      <w:pPr>
        <w:spacing w:after="40"/>
      </w:pPr>
      <w:r>
        <w:rPr>
          <w:color w:val="D9E2EC"/>
        </w:rPr>
        <w:t>________________________________________________________________________________</w:t>
      </w:r>
    </w:p>
    <w:p>
      <w:pPr>
        <w:spacing w:after="40"/>
      </w:pPr>
      <w:r>
        <w:rPr>
          <w:b/>
          <w:color w:val="0B1F3A"/>
        </w:rPr>
        <w:t>Monitoring, deviations and closure</w:t>
      </w:r>
      <w:r>
        <w:rPr>
          <w:i/>
          <w:color w:val="5B6777"/>
          <w:sz w:val="16"/>
        </w:rPr>
        <w:t xml:space="preserve">  Define reporting, amendment and final archive.</w:t>
      </w:r>
    </w:p>
    <w:p>
      <w:pPr>
        <w:spacing w:after="40"/>
      </w:pPr>
      <w:r>
        <w:rPr>
          <w:color w:val="D9E2EC"/>
        </w:rPr>
        <w:t>________________________________________________________________________________</w:t>
      </w:r>
    </w:p>
    <w:p>
      <w:pPr>
        <w:pStyle w:val="Heading1"/>
      </w:pPr>
      <w:r>
        <w:t>Publication governance and peer review</w:t>
      </w:r>
    </w:p>
    <w:p>
      <w:r>
        <w:t>RIYAADA Journals describes a double-blind review process, independent evaluation by 2–3 reviewers, approximately 3–4 weeks for review and an initial decision expectation of 6–8 weeks. Operational performance must be reported against clearly defined timestamps and should not be guaranteed where reviewer availability, complexity or ethics concerns require additional time.</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Stage</w:t>
            </w:r>
          </w:p>
        </w:tc>
        <w:tc>
          <w:tcPr>
            <w:tcW w:type="dxa" w:w="753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Control</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Submission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Author declarations, originality, ethics, data, conflicts, funding and files complete.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Editorial screening</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Scope, minimum quality, ethics, anonymity and obvious integrity risks.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Reviewer selection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Expertise, diversity, conflicts, confidentiality and workload considered.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Peer review</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Structured criteria, constructive reasoning, no unauthorised sharing or AI processing.</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Decision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Editor weighs evidence independently; reasons recorded; inconsistent reviews managed.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Revision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Author response and tracked changes; further review where necessary.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Production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Copyediting, metadata, licence, proofs, identifiers and author approval.</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Post-publication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Corrections, expressions of concern, retractions, complaints and version record.</w:t>
            </w:r>
          </w:p>
        </w:tc>
      </w:tr>
    </w:tbl>
    <w:p>
      <w:pPr>
        <w:spacing w:after="0"/>
      </w:pPr>
    </w:p>
    <w:p>
      <w:pPr>
        <w:pStyle w:val="Heading1"/>
      </w:pPr>
      <w:r>
        <w:t>Author and manuscript requirements</w:t>
      </w:r>
    </w:p>
    <w:p>
      <w:pPr>
        <w:pStyle w:val="ListBullet"/>
        <w:ind w:left="317" w:hanging="173"/>
      </w:pPr>
      <w:r>
        <w:t>Original work not published or under consideration elsewhere unless transparently justified and permitted.</w:t>
      </w:r>
    </w:p>
    <w:p>
      <w:pPr>
        <w:pStyle w:val="ListBullet"/>
        <w:ind w:left="317" w:hanging="173"/>
      </w:pPr>
      <w:r>
        <w:t>Clear abstract, question, methods, results, interpretation and implications appropriate to article type.</w:t>
      </w:r>
    </w:p>
    <w:p>
      <w:pPr>
        <w:pStyle w:val="ListBullet"/>
        <w:ind w:left="317" w:hanging="173"/>
      </w:pPr>
      <w:r>
        <w:t>Research ethics approval/waiver and informed consent where applicable.</w:t>
      </w:r>
    </w:p>
    <w:p>
      <w:pPr>
        <w:pStyle w:val="ListBullet"/>
        <w:ind w:left="317" w:hanging="173"/>
      </w:pPr>
      <w:r>
        <w:t>Data availability, funding, conflicts, author contributions and responsible AI disclosure.</w:t>
      </w:r>
    </w:p>
    <w:p>
      <w:pPr>
        <w:pStyle w:val="ListBullet"/>
        <w:ind w:left="317" w:hanging="173"/>
      </w:pPr>
      <w:r>
        <w:t>Accurate citations and references; the public author guidance currently specifies APA 7th edition.</w:t>
      </w:r>
    </w:p>
    <w:p>
      <w:pPr>
        <w:pStyle w:val="ListBullet"/>
        <w:ind w:left="317" w:hanging="173"/>
      </w:pPr>
      <w:r>
        <w:t>Tables, figures and images are original/licensed, interpretable, accessible and not misleading.</w:t>
      </w:r>
    </w:p>
    <w:p>
      <w:pPr>
        <w:pStyle w:val="ListBullet"/>
        <w:ind w:left="317" w:hanging="173"/>
      </w:pPr>
      <w:r>
        <w:t>All authors approve the submission and meet contribution/accountability requirements.</w:t>
      </w:r>
    </w:p>
    <w:p>
      <w:pPr>
        <w:pStyle w:val="Heading1"/>
      </w:pPr>
      <w:r>
        <w:t>Open access, copyright and licensing</w:t>
      </w:r>
    </w:p>
    <w:p>
      <w:r>
        <w:t>RIYAADA’s public policy framework states an open-access commitment and CC BY 4.0 licensing. Every product must display the applicable licence and rights information. Third-party material, confidential reports, commissioned restrictions or participant information require separate permission and may not be covered by the general licence.</w:t>
      </w:r>
    </w:p>
    <w:p>
      <w:pPr>
        <w:pStyle w:val="Heading1"/>
      </w:pPr>
      <w:r>
        <w:t>Portfolio register template</w:t>
      </w: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rPr>
          <w:tblHeader w:val="true"/>
        </w:trPr>
        <w:tc>
          <w:tcPr>
            <w:tcW w:type="dxa" w:w="86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ID</w:t>
            </w:r>
          </w:p>
        </w:tc>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Title / product</w:t>
            </w:r>
          </w:p>
        </w:tc>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Theme</w:t>
            </w:r>
          </w:p>
        </w:tc>
        <w:tc>
          <w:tcPr>
            <w:tcW w:type="dxa" w:w="10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Lead</w:t>
            </w:r>
          </w:p>
        </w:tc>
        <w:tc>
          <w:tcPr>
            <w:tcW w:type="dxa" w:w="14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Status</w:t>
            </w:r>
          </w:p>
        </w:tc>
        <w:tc>
          <w:tcPr>
            <w:tcW w:type="dxa" w:w="10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Ethics / review</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Target / link</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Impact evidence</w:t>
            </w:r>
          </w:p>
        </w:tc>
      </w:tr>
      <w:tr>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RES-001</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[Theme]</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[Concept/Active/Review/Published]</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[Ref]</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[Journal/audience/URL]</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[Use/citation/policy/change]</w:t>
            </w:r>
          </w:p>
        </w:tc>
      </w:tr>
      <w:tr>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RES-002</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[Theme]</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[Concept/Active/Review/Published]</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[Ref]</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[Journal/audience/URL]</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[Use/citation/policy/change]</w:t>
            </w:r>
          </w:p>
        </w:tc>
      </w:tr>
      <w:tr>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RES-003</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[Theme]</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[Concept/Active/Review/Published]</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[Ref]</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[Journal/audience/URL]</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[Use/citation/policy/change]</w:t>
            </w:r>
          </w:p>
        </w:tc>
      </w:tr>
      <w:tr>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RES-004</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[Theme]</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[Concept/Active/Review/Published]</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[Ref]</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[Journal/audience/URL]</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[Use/citation/policy/change]</w:t>
            </w:r>
          </w:p>
        </w:tc>
      </w:tr>
      <w:tr>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RES-005</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[Theme]</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[Concept/Active/Review/Published]</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[Ref]</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[Journal/audience/URL]</w:t>
            </w:r>
          </w:p>
        </w:tc>
        <w:tc>
          <w:tcPr>
            <w:tcW w:type="dxa" w:w="122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[Use/citation/policy/change]</w:t>
            </w:r>
          </w:p>
        </w:tc>
      </w:tr>
      <w:tr>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RES-006</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[Theme]</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[Concept/Active/Review/Published]</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[Ref]</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[Journal/audience/URL]</w:t>
            </w:r>
          </w:p>
        </w:tc>
        <w:tc>
          <w:tcPr>
            <w:tcW w:type="dxa" w:w="122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[Use/citation/policy/change]</w:t>
            </w:r>
          </w:p>
        </w:tc>
      </w:tr>
    </w:tbl>
    <w:p>
      <w:pPr>
        <w:spacing w:after="0"/>
      </w:pPr>
    </w:p>
    <w:p>
      <w:pPr>
        <w:pStyle w:val="Heading1"/>
      </w:pPr>
      <w:r>
        <w:t>Research and publication impact framework</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4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Level</w:t>
            </w:r>
          </w:p>
        </w:tc>
        <w:tc>
          <w:tcPr>
            <w:tcW w:type="dxa" w:w="396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Question</w:t>
            </w:r>
          </w:p>
        </w:tc>
        <w:tc>
          <w:tcPr>
            <w:tcW w:type="dxa" w:w="407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Indicators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Reach</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Who accessed or engaged with the work?</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Downloads, readers, event participants, geographic/sector reach, media.</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Quality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Was the work rigorous and trusted?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Peer review, methodological assessment, corrections, citations, external review.</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Use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Was evidence discussed or applied?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Policy briefs requested, consultations, curricula, guidance, organisational decisions.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Change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What policy, practice or institutional result followed?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Adoption, service/process change, capacity, resource allocation, implementation.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Equity and voice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Whose evidence and priorities were represented?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Local authorship, participant/community engagement, gender/region, language access.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What changed in the research or dissemination approach?</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Lessons, adaptations, partnerships and next research questions.</w:t>
            </w:r>
          </w:p>
        </w:tc>
      </w:tr>
    </w:tbl>
    <w:p>
      <w:pPr>
        <w:spacing w:after="0"/>
      </w:pPr>
    </w:p>
    <w:p>
      <w:pPr>
        <w:pStyle w:val="Heading1"/>
      </w:pPr>
      <w:r>
        <w:t>Initial portfolio development priorities</w:t>
      </w:r>
    </w:p>
    <w:p>
      <w:pPr>
        <w:pStyle w:val="ListBullet"/>
        <w:ind w:left="317" w:hanging="173"/>
      </w:pPr>
      <w:r>
        <w:t>State of Governance in Somalia annual report series with transparent methodology and source files.</w:t>
      </w:r>
    </w:p>
    <w:p>
      <w:pPr>
        <w:pStyle w:val="ListBullet"/>
        <w:ind w:left="317" w:hanging="173"/>
      </w:pPr>
      <w:r>
        <w:t>Leadership and public-sector transformation case series.</w:t>
      </w:r>
    </w:p>
    <w:p>
      <w:pPr>
        <w:pStyle w:val="ListBullet"/>
        <w:ind w:left="317" w:hanging="173"/>
      </w:pPr>
      <w:r>
        <w:t>Health systems, UHC, quality and patient-safety research programme.</w:t>
      </w:r>
    </w:p>
    <w:p>
      <w:pPr>
        <w:pStyle w:val="ListBullet"/>
        <w:ind w:left="317" w:hanging="173"/>
      </w:pPr>
      <w:r>
        <w:t>Working papers and policy briefs that clearly distinguish review status.</w:t>
      </w:r>
    </w:p>
    <w:p>
      <w:pPr>
        <w:pStyle w:val="ListBullet"/>
        <w:ind w:left="317" w:hanging="173"/>
      </w:pPr>
      <w:r>
        <w:t>Research methods, writing, peer-review and publication capacity development.</w:t>
      </w:r>
    </w:p>
    <w:p>
      <w:pPr>
        <w:pStyle w:val="ListBullet"/>
        <w:ind w:left="317" w:hanging="173"/>
      </w:pPr>
      <w:r>
        <w:t>Editorial board and reviewer database with verified expertise and conflict controls.</w:t>
      </w:r>
    </w:p>
    <w:p>
      <w:pPr>
        <w:pStyle w:val="ListBullet"/>
        <w:ind w:left="317" w:hanging="173"/>
      </w:pPr>
      <w:r>
        <w:t>Digital research repository, preservation plan, identifiers and portfolio dashboard.</w:t>
      </w:r>
    </w:p>
    <w:p>
      <w:pPr>
        <w:pStyle w:val="ListBullet"/>
        <w:ind w:left="317" w:hanging="173"/>
      </w:pPr>
      <w:r>
        <w:t>Partnership framework for commissioned research that protects independence and publication rights.</w:t>
      </w:r>
    </w:p>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12">
        <w:r>
          <w:rPr>
            <w:color w:val="0F8B8D"/>
            <w:u w:val="single"/>
          </w:rPr>
          <w:t>RIYAADA Journals — About</w:t>
        </w:r>
      </w:hyperlink>
    </w:p>
    <w:p>
      <w:pPr>
        <w:pStyle w:val="ListBullet"/>
      </w:pPr>
      <w:hyperlink r:id="rId13">
        <w:r>
          <w:rPr>
            <w:color w:val="0F8B8D"/>
            <w:u w:val="single"/>
          </w:rPr>
          <w:t>RIYAADA Journals — Policy Framework</w:t>
        </w:r>
      </w:hyperlink>
    </w:p>
    <w:p>
      <w:pPr>
        <w:pStyle w:val="ListBullet"/>
      </w:pPr>
      <w:hyperlink r:id="rId14">
        <w:r>
          <w:rPr>
            <w:color w:val="0F8B8D"/>
            <w:u w:val="single"/>
          </w:rPr>
          <w:t>RIYAADA Journals — Author Guidelines</w:t>
        </w:r>
      </w:hyperlink>
    </w:p>
    <w:p>
      <w:pPr>
        <w:pStyle w:val="ListBullet"/>
      </w:pPr>
      <w:hyperlink r:id="rId15">
        <w:r>
          <w:rPr>
            <w:color w:val="0F8B8D"/>
            <w:u w:val="single"/>
          </w:rPr>
          <w:t>RIYAADA Journals — Peer Review Policy</w:t>
        </w:r>
      </w:hyperlink>
    </w:p>
    <w:p>
      <w:pPr>
        <w:pStyle w:val="ListBullet"/>
      </w:pPr>
      <w:hyperlink r:id="rId16">
        <w:r>
          <w:rPr>
            <w:color w:val="0F8B8D"/>
            <w:u w:val="single"/>
          </w:rPr>
          <w:t>RIYAADA Institute</w:t>
        </w:r>
      </w:hyperlink>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Research Unit / Editorial Board / Quality Assurance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Research Unit / Editorial Board /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Research Portfolio</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RIY-RES-PORT-011</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riyaadajournals.com/about" TargetMode="External"/><Relationship Id="rId13" Type="http://schemas.openxmlformats.org/officeDocument/2006/relationships/hyperlink" Target="https://www.riyaadajournals.com/policies" TargetMode="External"/><Relationship Id="rId14" Type="http://schemas.openxmlformats.org/officeDocument/2006/relationships/hyperlink" Target="https://www.riyaadajournals.com/author-guidelines" TargetMode="External"/><Relationship Id="rId15" Type="http://schemas.openxmlformats.org/officeDocument/2006/relationships/hyperlink" Target="https://www.riyaadajournals.com/peer-review-policy" TargetMode="External"/><Relationship Id="rId16" Type="http://schemas.openxmlformats.org/officeDocument/2006/relationships/hyperlink" Target="https://www.riyaadainstitut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RIYAADA Research Publication Portfolio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