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Website &amp; Digital-Learning Platform Details</w:t>
      </w:r>
    </w:p>
    <w:p>
      <w:pPr>
        <w:pStyle w:val="Subtitle"/>
        <w:jc w:val="center"/>
      </w:pPr>
      <w:r>
        <w:t>Public websites, learning services, publishing systems and digital governance</w:t>
      </w:r>
    </w:p>
    <w:p>
      <w:pPr>
        <w:jc w:val="center"/>
      </w:pPr>
      <w:r>
        <w:rPr>
          <w:b/>
          <w:color w:val="D4A72C"/>
          <w:sz w:val="24"/>
        </w:rPr>
        <w:t>LEARN. QUALIFY. LEAD.</w:t>
      </w:r>
    </w:p>
    <w:p>
      <w:pPr>
        <w:ind w:left="720" w:right="720"/>
        <w:jc w:val="center"/>
      </w:pPr>
      <w:r>
        <w:rPr>
          <w:i/>
          <w:color w:val="5B6777"/>
          <w:sz w:val="21"/>
        </w:rPr>
        <w:t>A functional blueprint, content-control register and service specification for RIYAADA’s four-platform digital ecosystem.</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RIY-DIG-ARC-010</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Website &amp; Digital-Learning Platform Details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RIY-DIG-ARC-010</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Digital ecosystem purpose</w:t>
      </w:r>
    </w:p>
    <w:p>
      <w:r>
        <w:t>RIYAADA’s digital ecosystem connects institutional identity, programme discovery, admissions, learning delivery, research, publishing, membership, alumni engagement and credential verification. Each platform has a distinct purpose but must use consistent institutional information, brand, privacy controls, navigation and content governance.</w:t>
      </w:r>
    </w:p>
    <w:p>
      <w:pPr>
        <w:pStyle w:val="Heading1"/>
      </w:pPr>
      <w:r>
        <w:t>Platform portfolio</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84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Platform</w:t>
            </w:r>
          </w:p>
        </w:tc>
        <w:tc>
          <w:tcPr>
            <w:tcW w:type="dxa" w:w="208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Primary role</w:t>
            </w:r>
          </w:p>
        </w:tc>
        <w:tc>
          <w:tcPr>
            <w:tcW w:type="dxa" w:w="36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Core services</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Primary audiences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riyaadaacademy.com</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Institutional and academy gateway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Programme discovery, admissions information, institutional profile, partnerships, news and public enquiries.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Public users, applicants, partners, alumni.</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riyaadaacademy.online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Learning and learner-services platform</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Course delivery, enrolment, learning resources, assignments, assessments, attendance, certificates, alumni and verification services.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Learners, faculty, registry, quality assurance and administrators.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riyaadainstitute.com</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innovation and institutional-transformation platform</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Institute profile, research and innovation portfolio, policy dialogue, institutional advisory services and knowledge community.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Governments, universities, researchers, partners and reform teams.</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riyaadajournals.com</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Scholarly publishing and knowledge-translation platform</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Journals, calls for papers, author guidance, peer review, policy briefs, working papers, research portfolio and impact stories.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Authors, reviewers, editors, researchers, policymakers and readers.</w:t>
            </w:r>
          </w:p>
        </w:tc>
      </w:tr>
    </w:tbl>
    <w:p>
      <w:pPr>
        <w:spacing w:after="0"/>
      </w:pPr>
    </w:p>
    <w:p>
      <w:pPr>
        <w:pStyle w:val="Heading1"/>
      </w:pPr>
      <w:r>
        <w:t>Ecosystem navigation model</w:t>
      </w:r>
    </w:p>
    <w:tbl>
      <w:tblPr>
        <w:tblW w:type="auto" w:w="0"/>
        <w:jc w:val="center"/>
        <w:tblLayout w:type="fixed"/>
        <w:tblLook w:firstColumn="1" w:firstRow="1" w:lastColumn="0" w:lastRow="0" w:noHBand="0" w:noVBand="1" w:val="04A0"/>
      </w:tblPr>
      <w:tblGrid>
        <w:gridCol w:w="1405"/>
        <w:gridCol w:w="1405"/>
        <w:gridCol w:w="1405"/>
        <w:gridCol w:w="1405"/>
        <w:gridCol w:w="1405"/>
        <w:gridCol w:w="1405"/>
        <w:gridCol w:w="1405"/>
      </w:tblGrid>
      <w:tr>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Discover</w:t>
            </w:r>
          </w:p>
          <w:p>
            <w:pPr>
              <w:spacing w:after="0"/>
              <w:jc w:val="center"/>
            </w:pPr>
            <w:r>
              <w:rPr>
                <w:color w:val="5B6777"/>
                <w:sz w:val="14"/>
              </w:rPr>
              <w:t>Academy website</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Apply</w:t>
            </w:r>
          </w:p>
          <w:p>
            <w:pPr>
              <w:spacing w:after="0"/>
              <w:jc w:val="center"/>
            </w:pPr>
            <w:r>
              <w:rPr>
                <w:color w:val="5B6777"/>
                <w:sz w:val="14"/>
              </w:rPr>
              <w:t>Admissions service</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Learn</w:t>
            </w:r>
          </w:p>
          <w:p>
            <w:pPr>
              <w:spacing w:after="0"/>
              <w:jc w:val="center"/>
            </w:pPr>
            <w:r>
              <w:rPr>
                <w:color w:val="5B6777"/>
                <w:sz w:val="14"/>
              </w:rPr>
              <w:t>Online platform</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Achieve</w:t>
            </w:r>
          </w:p>
          <w:p>
            <w:pPr>
              <w:spacing w:after="0"/>
              <w:jc w:val="center"/>
            </w:pPr>
            <w:r>
              <w:rPr>
                <w:color w:val="5B6777"/>
                <w:sz w:val="14"/>
              </w:rPr>
              <w:t>Registry / credentials</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Research</w:t>
            </w:r>
          </w:p>
          <w:p>
            <w:pPr>
              <w:spacing w:after="0"/>
              <w:jc w:val="center"/>
            </w:pPr>
            <w:r>
              <w:rPr>
                <w:color w:val="5B6777"/>
                <w:sz w:val="14"/>
              </w:rPr>
              <w:t>Institute platform</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Publish</w:t>
            </w:r>
          </w:p>
          <w:p>
            <w:pPr>
              <w:spacing w:after="0"/>
              <w:jc w:val="center"/>
            </w:pPr>
            <w:r>
              <w:rPr>
                <w:color w:val="5B6777"/>
                <w:sz w:val="14"/>
              </w:rPr>
              <w:t>Journals platform</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Engage</w:t>
            </w:r>
          </w:p>
          <w:p>
            <w:pPr>
              <w:spacing w:after="0"/>
              <w:jc w:val="center"/>
            </w:pPr>
            <w:r>
              <w:rPr>
                <w:color w:val="5B6777"/>
                <w:sz w:val="14"/>
              </w:rPr>
              <w:t>Alumni / membership</w:t>
            </w:r>
          </w:p>
        </w:tc>
      </w:tr>
    </w:tbl>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SINGLE SOURCE OF TRUTH</w:t>
            </w:r>
          </w:p>
          <w:p>
            <w:pPr>
              <w:spacing w:after="0"/>
            </w:pPr>
            <w:r>
              <w:rPr>
                <w:color w:val="17202A"/>
                <w:sz w:val="18"/>
              </w:rPr>
              <w:t>Programme titles, codes, awards, dates, fees, eligibility, leadership roles, contacts, policies and claims must be maintained in controlled registers and synchronised across platforms. Website copy is not the authoritative source for changing academic records.</w:t>
            </w:r>
          </w:p>
        </w:tc>
      </w:tr>
    </w:tbl>
    <w:p>
      <w:pPr>
        <w:spacing w:after="0"/>
      </w:pPr>
    </w:p>
    <w:p>
      <w:pPr>
        <w:pStyle w:val="Heading1"/>
      </w:pPr>
      <w:r>
        <w:t>Functional requirements by platform</w:t>
      </w:r>
    </w:p>
    <w:p>
      <w:pPr>
        <w:pStyle w:val="Heading2"/>
      </w:pPr>
      <w:r>
        <w:t>A. riyaadaacademy.com — institutional and academy gateway</w:t>
      </w:r>
    </w:p>
    <w:p>
      <w:pPr>
        <w:pStyle w:val="ListBullet"/>
        <w:ind w:left="317" w:hanging="173"/>
      </w:pPr>
      <w:r>
        <w:t>Institutional purpose, history, governance and approved leadership profile.</w:t>
      </w:r>
    </w:p>
    <w:p>
      <w:pPr>
        <w:pStyle w:val="ListBullet"/>
        <w:ind w:left="317" w:hanging="173"/>
      </w:pPr>
      <w:r>
        <w:t>Programme catalogue with structured filters, cohort dates, modes, eligibility, workload, award and application route.</w:t>
      </w:r>
    </w:p>
    <w:p>
      <w:pPr>
        <w:pStyle w:val="ListBullet"/>
        <w:ind w:left="317" w:hanging="173"/>
      </w:pPr>
      <w:r>
        <w:t>Admissions information, scholarships/fees, learner support, FAQs and official contact channels.</w:t>
      </w:r>
    </w:p>
    <w:p>
      <w:pPr>
        <w:pStyle w:val="ListBullet"/>
        <w:ind w:left="317" w:hanging="173"/>
      </w:pPr>
      <w:r>
        <w:t>Partnership, institutional reform, executive education and commissioned-service pages.</w:t>
      </w:r>
    </w:p>
    <w:p>
      <w:pPr>
        <w:pStyle w:val="ListBullet"/>
        <w:ind w:left="317" w:hanging="173"/>
      </w:pPr>
      <w:r>
        <w:t>News, events, impact stories, alumni and calls to engage.</w:t>
      </w:r>
    </w:p>
    <w:p>
      <w:pPr>
        <w:pStyle w:val="ListBullet"/>
        <w:ind w:left="317" w:hanging="173"/>
      </w:pPr>
      <w:r>
        <w:t>Approved public policies, privacy/cookie information and accessible contact/complaint routes.</w:t>
      </w:r>
    </w:p>
    <w:p>
      <w:pPr>
        <w:pStyle w:val="Heading2"/>
      </w:pPr>
      <w:r>
        <w:t>B. riyaadaacademy.online — learning and learner services</w:t>
      </w:r>
    </w:p>
    <w:p>
      <w:pPr>
        <w:pStyle w:val="ListBullet"/>
        <w:ind w:left="317" w:hanging="173"/>
      </w:pPr>
      <w:r>
        <w:t>Applicant/learner accounts, identity and enrolment status.</w:t>
      </w:r>
    </w:p>
    <w:p>
      <w:pPr>
        <w:pStyle w:val="ListBullet"/>
        <w:ind w:left="317" w:hanging="173"/>
      </w:pPr>
      <w:r>
        <w:t>Role-based dashboards for learner, faculty, programme manager, registry, quality assurance and administrator.</w:t>
      </w:r>
    </w:p>
    <w:p>
      <w:pPr>
        <w:pStyle w:val="ListBullet"/>
        <w:ind w:left="317" w:hanging="173"/>
      </w:pPr>
      <w:r>
        <w:t>Course catalogue, learning pathways, cohorts, calendars, live sessions, resources, discussions and notifications.</w:t>
      </w:r>
    </w:p>
    <w:p>
      <w:pPr>
        <w:pStyle w:val="ListBullet"/>
        <w:ind w:left="317" w:hanging="173"/>
      </w:pPr>
      <w:r>
        <w:t>Assignments, quizzes, rubrics, plagiarism/similarity workflow, feedback, moderation and result approval.</w:t>
      </w:r>
    </w:p>
    <w:p>
      <w:pPr>
        <w:pStyle w:val="ListBullet"/>
        <w:ind w:left="317" w:hanging="173"/>
      </w:pPr>
      <w:r>
        <w:t>Attendance/engagement, learning analytics, early alerts, support tickets and reasonable-adjustment notes with restricted access.</w:t>
      </w:r>
    </w:p>
    <w:p>
      <w:pPr>
        <w:pStyle w:val="ListBullet"/>
        <w:ind w:left="317" w:hanging="173"/>
      </w:pPr>
      <w:r>
        <w:t>Certificate generation, transcript, badges, verification, alumni and continuing professional-development record.</w:t>
      </w:r>
    </w:p>
    <w:p>
      <w:pPr>
        <w:pStyle w:val="Heading2"/>
      </w:pPr>
      <w:r>
        <w:t>C. riyaadainstitute.com — research, innovation and transformation</w:t>
      </w:r>
    </w:p>
    <w:p>
      <w:pPr>
        <w:pStyle w:val="ListBullet"/>
        <w:ind w:left="317" w:hanging="173"/>
      </w:pPr>
      <w:r>
        <w:t>Institutional research and innovation identity, thematic programmes and expert capability.</w:t>
      </w:r>
    </w:p>
    <w:p>
      <w:pPr>
        <w:pStyle w:val="ListBullet"/>
        <w:ind w:left="317" w:hanging="173"/>
      </w:pPr>
      <w:r>
        <w:t>Research portfolio, reports, policy dialogues, datasets/resources, fellows and collaboration routes.</w:t>
      </w:r>
    </w:p>
    <w:p>
      <w:pPr>
        <w:pStyle w:val="ListBullet"/>
        <w:ind w:left="317" w:hanging="173"/>
      </w:pPr>
      <w:r>
        <w:t>Institutional transformation advisory, diagnostics, DIRECTOR/MANAGER/LEADER framework and sector services.</w:t>
      </w:r>
    </w:p>
    <w:p>
      <w:pPr>
        <w:pStyle w:val="ListBullet"/>
        <w:ind w:left="317" w:hanging="173"/>
      </w:pPr>
      <w:r>
        <w:t>Events, webinars, knowledge community, partnerships and commissioned research enquiries.</w:t>
      </w:r>
    </w:p>
    <w:p>
      <w:pPr>
        <w:pStyle w:val="Heading2"/>
      </w:pPr>
      <w:r>
        <w:t>D. riyaadajournals.com — publishing and knowledge translation</w:t>
      </w:r>
    </w:p>
    <w:p>
      <w:pPr>
        <w:pStyle w:val="ListBullet"/>
        <w:ind w:left="317" w:hanging="173"/>
      </w:pPr>
      <w:r>
        <w:t>Journal/series discovery, aims and scope, calls for papers and submission routes.</w:t>
      </w:r>
    </w:p>
    <w:p>
      <w:pPr>
        <w:pStyle w:val="ListBullet"/>
        <w:ind w:left="317" w:hanging="173"/>
      </w:pPr>
      <w:r>
        <w:t>Author guidelines, article template, editorial governance, peer review, open access, ethics, corrections and complaints.</w:t>
      </w:r>
    </w:p>
    <w:p>
      <w:pPr>
        <w:pStyle w:val="ListBullet"/>
        <w:ind w:left="317" w:hanging="173"/>
      </w:pPr>
      <w:r>
        <w:t>Research articles, policy briefs, working papers, technical reports, impact stories and RIYAADA Insights.</w:t>
      </w:r>
    </w:p>
    <w:p>
      <w:pPr>
        <w:pStyle w:val="ListBullet"/>
        <w:ind w:left="317" w:hanging="173"/>
      </w:pPr>
      <w:r>
        <w:t>Editorial/reviewer membership, searchable portfolio, DOI/identifier metadata where valid, and preservation/export arrangements.</w:t>
      </w:r>
    </w:p>
    <w:p>
      <w:pPr>
        <w:pStyle w:val="Heading1"/>
      </w:pPr>
      <w:r>
        <w:t>Cross-platform content model</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61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Content entity</w:t>
            </w:r>
          </w:p>
        </w:tc>
        <w:tc>
          <w:tcPr>
            <w:tcW w:type="dxa" w:w="21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Master owner</w:t>
            </w:r>
          </w:p>
        </w:tc>
        <w:tc>
          <w:tcPr>
            <w:tcW w:type="dxa" w:w="391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Required fields</w:t>
            </w:r>
          </w:p>
        </w:tc>
        <w:tc>
          <w:tcPr>
            <w:tcW w:type="dxa" w:w="178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Published to</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Institution profile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Board Secretariat / Communications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Approved name, description, history, address, contact, identifiers and claims.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All platforms.</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Programme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Academic Registry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Code, title, award, level, outcomes, duration, mode, eligibility, status, cohort.</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Academy + online.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Person profile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HR / Office of Dean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Name, role, verified credentials, biography, photograph consent, status.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Relevant platforms.</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Policy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Document owner / QA</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Code, title, version, approval, effective/review date, public/internal status.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Academy/online/journals as applicable.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output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Research / Editorial</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Title, authors, abstract, type, dates, identifiers, licence, status, files.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Institute + journals.</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Credential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Registry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ID, learner, award, programme, dates, status, verification fields.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Online verification only.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Event / call</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Owner directorate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Title, purpose, dates/time zone, eligibility, registration, status, contact.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Relevant platforms.</w:t>
            </w:r>
          </w:p>
        </w:tc>
      </w:tr>
    </w:tbl>
    <w:p>
      <w:pPr>
        <w:spacing w:after="0"/>
      </w:pPr>
    </w:p>
    <w:p>
      <w:pPr>
        <w:pStyle w:val="Heading1"/>
      </w:pPr>
      <w:r>
        <w:t>Roles and permissions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Role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Permitted scope</w:t>
            </w:r>
          </w:p>
        </w:tc>
        <w:tc>
          <w:tcPr>
            <w:tcW w:type="dxa" w:w="241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Super administrator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Technical configuration and emergency access.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Named accounts, MFA, logging, restricted number and break-glass review.</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Platform administrator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User, course, workflow and configuration within platform.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Role approval and periodic access review.</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Content owner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Draft and maintain assigned content.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Cannot self-approve high-risk claims where separation is required.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Publisher / approver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 content for public release.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Check source, version, accessibility, privacy and brand.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Faculty / editor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Manage assigned course/manuscript workflow.</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Limited to assigned records; conflict and confidentiality.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 certification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Authoritative learner, result, award and verification records.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Highest record controls and audit log.</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Analyst / quality reviewer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 approved aggregate or sampled information.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Minimum necessary data; export control.</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Learner / author / reviewer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 own or assigned activities.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Identity, terms, confidentiality and session security.</w:t>
            </w:r>
          </w:p>
        </w:tc>
      </w:tr>
    </w:tbl>
    <w:p>
      <w:pPr>
        <w:spacing w:after="0"/>
      </w:pPr>
    </w:p>
    <w:p>
      <w:pPr>
        <w:pStyle w:val="Heading1"/>
      </w:pPr>
      <w:r>
        <w:t>Publishing workflow and web quality gate</w:t>
      </w:r>
    </w:p>
    <w:tbl>
      <w:tblPr>
        <w:tblW w:type="auto" w:w="0"/>
        <w:jc w:val="center"/>
        <w:tblLayout w:type="fixed"/>
        <w:tblLook w:firstColumn="1" w:firstRow="1" w:lastColumn="0" w:lastRow="0" w:noHBand="0" w:noVBand="1" w:val="04A0"/>
      </w:tblPr>
      <w:tblGrid>
        <w:gridCol w:w="1405"/>
        <w:gridCol w:w="1405"/>
        <w:gridCol w:w="1405"/>
        <w:gridCol w:w="1405"/>
        <w:gridCol w:w="1405"/>
        <w:gridCol w:w="1405"/>
        <w:gridCol w:w="1405"/>
      </w:tblGrid>
      <w:tr>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Draft</w:t>
            </w:r>
          </w:p>
          <w:p>
            <w:pPr>
              <w:spacing w:after="0"/>
              <w:jc w:val="center"/>
            </w:pPr>
            <w:r>
              <w:rPr>
                <w:color w:val="5B6777"/>
                <w:sz w:val="14"/>
              </w:rPr>
              <w:t>Owner creates content</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Verify</w:t>
            </w:r>
          </w:p>
          <w:p>
            <w:pPr>
              <w:spacing w:after="0"/>
              <w:jc w:val="center"/>
            </w:pPr>
            <w:r>
              <w:rPr>
                <w:color w:val="5B6777"/>
                <w:sz w:val="14"/>
              </w:rPr>
              <w:t>Source and factual check</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Review</w:t>
            </w:r>
          </w:p>
          <w:p>
            <w:pPr>
              <w:spacing w:after="0"/>
              <w:jc w:val="center"/>
            </w:pPr>
            <w:r>
              <w:rPr>
                <w:color w:val="5B6777"/>
                <w:sz w:val="14"/>
              </w:rPr>
              <w:t>Academic/legal/privacy/brand</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Approve</w:t>
            </w:r>
          </w:p>
          <w:p>
            <w:pPr>
              <w:spacing w:after="0"/>
              <w:jc w:val="center"/>
            </w:pPr>
            <w:r>
              <w:rPr>
                <w:color w:val="5B6777"/>
                <w:sz w:val="14"/>
              </w:rPr>
              <w:t>Authorised publisher</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Publish</w:t>
            </w:r>
          </w:p>
          <w:p>
            <w:pPr>
              <w:spacing w:after="0"/>
              <w:jc w:val="center"/>
            </w:pPr>
            <w:r>
              <w:rPr>
                <w:color w:val="5B6777"/>
                <w:sz w:val="14"/>
              </w:rPr>
              <w:t>Version and date</w:t>
            </w:r>
          </w:p>
        </w:tc>
        <w:tc>
          <w:tcPr>
            <w:tcW w:type="dxa" w:w="135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Monitor</w:t>
            </w:r>
          </w:p>
          <w:p>
            <w:pPr>
              <w:spacing w:after="0"/>
              <w:jc w:val="center"/>
            </w:pPr>
            <w:r>
              <w:rPr>
                <w:color w:val="5B6777"/>
                <w:sz w:val="14"/>
              </w:rPr>
              <w:t>Links, analytics, feedback</w:t>
            </w:r>
          </w:p>
        </w:tc>
        <w:tc>
          <w:tcPr>
            <w:tcW w:type="dxa" w:w="135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Review</w:t>
            </w:r>
          </w:p>
          <w:p>
            <w:pPr>
              <w:spacing w:after="0"/>
              <w:jc w:val="center"/>
            </w:pPr>
            <w:r>
              <w:rPr>
                <w:color w:val="5B6777"/>
                <w:sz w:val="14"/>
              </w:rPr>
              <w:t>Update or archive</w:t>
            </w:r>
          </w:p>
        </w:tc>
      </w:tr>
    </w:tbl>
    <w:tbl>
      <w:tblPr>
        <w:tblW w:type="auto" w:w="0"/>
        <w:jc w:val="center"/>
        <w:tblLayout w:type="fixed"/>
        <w:tblLook w:firstColumn="1" w:firstRow="1" w:lastColumn="0" w:lastRow="0" w:noHBand="0" w:noVBand="1" w:val="04A0"/>
      </w:tblPr>
      <w:tblGrid>
        <w:gridCol w:w="4917"/>
        <w:gridCol w:w="4917"/>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Quality gate</w:t>
            </w:r>
          </w:p>
        </w:tc>
        <w:tc>
          <w:tcPr>
            <w:tcW w:type="dxa" w:w="724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Check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Accuracy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Names, roles, dates, fees, awards, partners, metrics, identifiers and accreditation claims verified.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Accessibility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Heading structure, alt text, contrast, link purpose, keyboard access, captions and readable documents.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Privacy and consent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 unnecessary personal data; approved images/testimonials; forms have notice and retention rule.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Security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HTTPS, updates, least privilege, secure forms, backups, monitoring and incident contact.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Brand and language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Approved RIYAADA identity, consistent tone, Somali/English quality where provided, no placeholder text.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Performance and resilience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Responsive design, reasonable load time, low-bandwidth consideration, broken-link monitoring and recovery.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Records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Owner, approval, publication date, review date, archived version and source file.</w:t>
            </w:r>
          </w:p>
        </w:tc>
      </w:tr>
    </w:tbl>
    <w:p>
      <w:pPr>
        <w:spacing w:after="0"/>
      </w:pPr>
    </w:p>
    <w:p>
      <w:pPr>
        <w:pStyle w:val="Heading1"/>
      </w:pPr>
      <w:r>
        <w:t>Service levels and monitoring dashboard</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6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Service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Indicator</w:t>
            </w:r>
          </w:p>
        </w:tc>
        <w:tc>
          <w:tcPr>
            <w:tcW w:type="dxa" w:w="270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Target / trigger to approve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Availability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Uptime and critical outage duration.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Set service target and incident escalation by platform criticality.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Support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First response and resolution time.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Published working-day targets and urgent escalation.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Accessibility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Automated/manual issue count and remediation age.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No known critical blocker; tracked improvement for remaining issues.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Content currency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Overdue review items and stale pages.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Monthly register; high-risk information reviewed immediately.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Security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Patch status, privileged accounts, failed logins, incidents.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Risk-based thresholds and executive escalation.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Learning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Activation, engagement, completion, assessment turnaround.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dashboard and early-alert actions.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Publishing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Submission, desk review, reviewer time and decision time.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Editorial dashboard with transparent definitions.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Successful lookups, no-match rate, anomalies and response time.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Fraud/anomaly review and continuity testing.</w:t>
            </w:r>
          </w:p>
        </w:tc>
      </w:tr>
    </w:tbl>
    <w:p>
      <w:pPr>
        <w:spacing w:after="0"/>
      </w:pPr>
    </w:p>
    <w:p>
      <w:pPr>
        <w:pStyle w:val="Heading1"/>
      </w:pPr>
      <w:r>
        <w:t>Digital improvement backlog template</w:t>
      </w:r>
    </w:p>
    <w:tbl>
      <w:tblPr>
        <w:tblW w:type="auto" w:w="0"/>
        <w:jc w:val="center"/>
        <w:tblLayout w:type="fixed"/>
        <w:tblLook w:firstColumn="1" w:firstRow="1" w:lastColumn="0" w:lastRow="0" w:noHBand="0" w:noVBand="1" w:val="04A0"/>
      </w:tblPr>
      <w:tblGrid>
        <w:gridCol w:w="1405"/>
        <w:gridCol w:w="1405"/>
        <w:gridCol w:w="1405"/>
        <w:gridCol w:w="1405"/>
        <w:gridCol w:w="1405"/>
        <w:gridCol w:w="1405"/>
        <w:gridCol w:w="1405"/>
      </w:tblGrid>
      <w:tr>
        <w:trPr>
          <w:tblHeader w:val="true"/>
        </w:trPr>
        <w:tc>
          <w:tcPr>
            <w:tcW w:type="dxa" w:w="93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ID</w:t>
            </w:r>
          </w:p>
        </w:tc>
        <w:tc>
          <w:tcPr>
            <w:tcW w:type="dxa" w:w="14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Platform</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User need / issue</w:t>
            </w:r>
          </w:p>
        </w:tc>
        <w:tc>
          <w:tcPr>
            <w:tcW w:type="dxa" w:w="118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Priority</w:t>
            </w:r>
          </w:p>
        </w:tc>
        <w:tc>
          <w:tcPr>
            <w:tcW w:type="dxa" w:w="10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Owner</w:t>
            </w:r>
          </w:p>
        </w:tc>
        <w:tc>
          <w:tcPr>
            <w:tcW w:type="dxa" w:w="100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Target</w:t>
            </w:r>
          </w:p>
        </w:tc>
        <w:tc>
          <w:tcPr>
            <w:tcW w:type="dxa" w:w="141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Acceptance evidence</w:t>
            </w:r>
          </w:p>
        </w:tc>
      </w:tr>
      <w:tr>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DIG-001</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r>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DIG-002</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r>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DIG-003</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r>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DIG-004</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r>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DIG-005</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r>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DIG-006</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[Platform]</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[Describe outcome, not only feature]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[Critical/H/M/L]</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[Name/role]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[Date]</w:t>
            </w:r>
          </w:p>
        </w:tc>
        <w:tc>
          <w:tcPr>
            <w:tcW w:type="dxa" w:w="1405"/>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[Test / user sign-off / metric]</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w:t>
        </w:r>
      </w:hyperlink>
    </w:p>
    <w:p>
      <w:pPr>
        <w:pStyle w:val="ListBullet"/>
      </w:pPr>
      <w:hyperlink r:id="rId13">
        <w:r>
          <w:rPr>
            <w:color w:val="0F8B8D"/>
            <w:u w:val="single"/>
          </w:rPr>
          <w:t>RIYAADA Online</w:t>
        </w:r>
      </w:hyperlink>
    </w:p>
    <w:p>
      <w:pPr>
        <w:pStyle w:val="ListBullet"/>
      </w:pPr>
      <w:hyperlink r:id="rId14">
        <w:r>
          <w:rPr>
            <w:color w:val="0F8B8D"/>
            <w:u w:val="single"/>
          </w:rPr>
          <w:t>RIYAADA Institute</w:t>
        </w:r>
      </w:hyperlink>
    </w:p>
    <w:p>
      <w:pPr>
        <w:pStyle w:val="ListBullet"/>
      </w:pPr>
      <w:hyperlink r:id="rId15">
        <w:r>
          <w:rPr>
            <w:color w:val="0F8B8D"/>
            <w:u w:val="single"/>
          </w:rPr>
          <w:t>RIYAADA Journals</w:t>
        </w:r>
      </w:hyperlink>
    </w:p>
    <w:p>
      <w:pPr>
        <w:pStyle w:val="ListBullet"/>
      </w:pPr>
      <w:hyperlink r:id="rId16">
        <w:r>
          <w:rPr>
            <w:color w:val="0F8B8D"/>
            <w:u w:val="single"/>
          </w:rPr>
          <w:t>WCAG 2.2</w:t>
        </w:r>
      </w:hyperlink>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Infrastructure / Communications / Academic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Infrastructure / Communications / Academic Registry</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Digital Ecosystem</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RIY-DIG-ARC-010</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com" TargetMode="External"/><Relationship Id="rId13" Type="http://schemas.openxmlformats.org/officeDocument/2006/relationships/hyperlink" Target="https://www.riyaadaacademy.online" TargetMode="External"/><Relationship Id="rId14" Type="http://schemas.openxmlformats.org/officeDocument/2006/relationships/hyperlink" Target="https://www.riyaadainstitute.com" TargetMode="External"/><Relationship Id="rId15" Type="http://schemas.openxmlformats.org/officeDocument/2006/relationships/hyperlink" Target="https://www.riyaadajournals.com" TargetMode="External"/><Relationship Id="rId16" Type="http://schemas.openxmlformats.org/officeDocument/2006/relationships/hyperlink" Target="https://www.w3.org/TR/WCAG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RIYAADA Website Digital Learning Platform Details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