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236208" cy="2157984"/>
            <wp:docPr id="1" name="Picture 1" descr="Image: image2.png"/>
            <wp:cNvGraphicFramePr>
              <a:graphicFrameLocks noChangeAspect="1"/>
            </wp:cNvGraphicFramePr>
            <a:graphic>
              <a:graphicData uri="http://schemas.openxmlformats.org/drawingml/2006/picture">
                <pic:pic>
                  <pic:nvPicPr>
                    <pic:cNvPr id="0" name="cover_banner.png"/>
                    <pic:cNvPicPr/>
                  </pic:nvPicPr>
                  <pic:blipFill>
                    <a:blip r:embed="rId11"/>
                    <a:stretch>
                      <a:fillRect/>
                    </a:stretch>
                  </pic:blipFill>
                  <pic:spPr>
                    <a:xfrm>
                      <a:off x="0" y="0"/>
                      <a:ext cx="6236208" cy="2157984"/>
                    </a:xfrm>
                    <a:prstGeom prst="rect"/>
                  </pic:spPr>
                </pic:pic>
              </a:graphicData>
            </a:graphic>
          </wp:inline>
        </w:drawing>
      </w:r>
    </w:p>
    <w:p>
      <w:pPr>
        <w:pStyle w:val="RIYAADAEyebrow"/>
        <w:jc w:val="center"/>
      </w:pPr>
      <w:r>
        <w:t>RIYAADA INSTITUTIONAL DOCUMENT SERIES</w:t>
      </w:r>
    </w:p>
    <w:p>
      <w:pPr>
        <w:pStyle w:val="Title"/>
        <w:jc w:val="center"/>
      </w:pPr>
      <w:r>
        <w:t>Online &amp; Blended Learning Policy</w:t>
      </w:r>
    </w:p>
    <w:p>
      <w:pPr>
        <w:pStyle w:val="Subtitle"/>
        <w:jc w:val="center"/>
      </w:pPr>
      <w:r>
        <w:t>Accessible, engaging, secure and resilient learning across modes</w:t>
      </w:r>
    </w:p>
    <w:p>
      <w:pPr>
        <w:jc w:val="center"/>
      </w:pPr>
      <w:r>
        <w:rPr>
          <w:b/>
          <w:color w:val="D4A72C"/>
          <w:sz w:val="24"/>
        </w:rPr>
        <w:t>LEARN. QUALIFY. LEAD.</w:t>
      </w:r>
    </w:p>
    <w:p>
      <w:pPr>
        <w:ind w:left="720" w:right="720"/>
        <w:jc w:val="center"/>
      </w:pPr>
      <w:r>
        <w:rPr>
          <w:i/>
          <w:color w:val="5B6777"/>
          <w:sz w:val="21"/>
        </w:rPr>
        <w:t>The policy governing online, self-paced, cohort-based, virtual, hybrid and technology-supported RIYAADA learning.</w:t>
      </w:r>
    </w:p>
    <w:p/>
    <w:tbl>
      <w:tblPr>
        <w:tblW w:type="auto" w:w="0"/>
        <w:jc w:val="center"/>
        <w:tblLayout w:type="fixed"/>
        <w:tblLook w:firstColumn="1" w:firstRow="1" w:lastColumn="0" w:lastRow="0" w:noHBand="0" w:noVBand="1" w:val="04A0"/>
      </w:tblPr>
      <w:tblGrid>
        <w:gridCol w:w="4917"/>
        <w:gridCol w:w="4917"/>
      </w:tblGrid>
      <w:tr>
        <w:tc>
          <w:tcPr>
            <w:tcW w:type="dxa" w:w="3024"/>
            <w:shd w:fill="0B1F3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FFFFFF"/>
                <w:sz w:val="18"/>
              </w:rPr>
              <w:t>Document code</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RIY-DL-POL-008</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Version / issue</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Version 1.0 | July 2026</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Status</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Controlled Draft for Institutional Approval</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Owner</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Office of the Dean / Quality Assurance &amp; Standards Unit</w:t>
            </w:r>
          </w:p>
        </w:tc>
      </w:tr>
    </w:tbl>
    <w:p>
      <w:pPr>
        <w:spacing w:before="320"/>
        <w:jc w:val="center"/>
      </w:pPr>
      <w:r>
        <w:rPr>
          <w:b/>
          <w:color w:val="0B1F3A"/>
          <w:sz w:val="22"/>
        </w:rPr>
        <w:t>RIYAADA Institute for Leadership &amp; Governance</w:t>
        <w:br/>
      </w:r>
      <w:r>
        <w:rPr>
          <w:color w:val="5B6777"/>
          <w:sz w:val="17"/>
        </w:rPr>
        <w:t>Abdiaziz District, Via-Bandar Qaasim, Mogadishu, Somalia</w:t>
        <w:br/>
        <w:t>info@riyaadaacademy.com  |  +252 617 596 220</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CONTROLLED DOCUMENT</w:t>
            </w:r>
          </w:p>
          <w:p>
            <w:pPr>
              <w:spacing w:after="0"/>
            </w:pPr>
            <w:r>
              <w:rPr>
                <w:color w:val="17202A"/>
                <w:sz w:val="18"/>
              </w:rPr>
              <w:t>The editable fields in this template must be completed before approval. Printed copies are uncontrolled unless stamped and dated by the Quality Assurance &amp; Standards Unit.</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Document title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Online &amp; Blended Learning Policy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Document code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RIY-DL-POL-008</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Policy owner</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Office of the Dean / designated directorate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authority</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RIYAADA Governing Board / delegated Academic Council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Version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Issue date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July 2026</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Effective date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[DD Month YYYY]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Review cycle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Annual, or earlier when law, standards, platform architecture or institutional needs change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Classification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institutional document / internal controlled annexes where indicated</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Supersedes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New document</w:t>
            </w:r>
          </w:p>
        </w:tc>
      </w:tr>
    </w:tbl>
    <w:p>
      <w:pPr>
        <w:pStyle w:val="Heading2"/>
      </w:pPr>
      <w:r>
        <w:t>Approval and sign-off</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Role</w:t>
            </w:r>
          </w:p>
        </w:tc>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Name</w:t>
            </w:r>
          </w:p>
        </w:tc>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Signature</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Prepared by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 / title]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Director, Student Affairs, Certification &amp;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endorsement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 of the Academy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approval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Founder &amp; Chairman / Governing Board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bl>
    <w:p>
      <w:pPr>
        <w:spacing w:after="0"/>
      </w:pPr>
    </w:p>
    <w:p>
      <w:pPr>
        <w:pStyle w:val="Heading2"/>
      </w:pPr>
      <w:r>
        <w:t>Revision history</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Version</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Summary of change</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Approved by</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1.0</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July 2026</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controlled institutional edition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[Pending]</w:t>
            </w:r>
          </w:p>
        </w:tc>
      </w:tr>
    </w:tbl>
    <w:p>
      <w:pPr>
        <w:spacing w:after="0"/>
      </w:pPr>
    </w:p>
    <w:p>
      <w:r>
        <w:br w:type="page"/>
      </w:r>
    </w:p>
    <w:p>
      <w:pPr>
        <w:pStyle w:val="Heading1"/>
      </w:pPr>
      <w:r>
        <w:t>Policy commitment</w:t>
      </w:r>
    </w:p>
    <w:p>
      <w:r>
        <w:t>RIYAADA uses digital learning to expand access without reducing academic standards, learner support, assessment integrity or accountability. Online and blended programmes must be intentionally designed for the mode, accessible across realistic bandwidth and device conditions, supported by trained faculty, and protected by appropriate privacy, cybersecurity and continuity controls.</w:t>
      </w:r>
    </w:p>
    <w:tbl>
      <w:tblPr>
        <w:tblW w:type="auto" w:w="0"/>
        <w:jc w:val="center"/>
        <w:tblLayout w:type="fixed"/>
        <w:tblLook w:firstColumn="1" w:firstRow="1" w:lastColumn="0" w:lastRow="0" w:noHBand="0" w:noVBand="1" w:val="04A0"/>
      </w:tblPr>
      <w:tblGrid>
        <w:gridCol w:w="4917"/>
        <w:gridCol w:w="4917"/>
      </w:tblGrid>
      <w:tr>
        <w:tc>
          <w:tcPr>
            <w:tcW w:type="dxa" w:w="187"/>
            <w:shd w:fill="0F8B8D"/>
            <w:tcMar>
              <w:top w:w="90" w:type="dxa"/>
              <w:start w:w="100" w:type="dxa"/>
              <w:bottom w:w="90" w:type="dxa"/>
              <w:end w:w="100" w:type="dxa"/>
            </w:tcMar>
          </w:tcPr>
          <w:p/>
        </w:tc>
        <w:tc>
          <w:tcPr>
            <w:tcW w:type="dxa" w:w="9288"/>
            <w:shd w:fill="EFF7F8"/>
            <w:tcMar>
              <w:top w:w="90" w:type="dxa"/>
              <w:start w:w="100" w:type="dxa"/>
              <w:bottom w:w="90" w:type="dxa"/>
              <w:end w:w="100" w:type="dxa"/>
            </w:tcMar>
          </w:tcPr>
          <w:p>
            <w:pPr>
              <w:spacing w:after="40"/>
            </w:pPr>
            <w:r>
              <w:rPr>
                <w:b/>
                <w:color w:val="0F8B8D"/>
                <w:sz w:val="18"/>
              </w:rPr>
              <w:t>EQUIVALENT STANDARDS</w:t>
            </w:r>
          </w:p>
          <w:p>
            <w:pPr>
              <w:spacing w:after="0"/>
            </w:pPr>
            <w:r>
              <w:rPr>
                <w:color w:val="17202A"/>
                <w:sz w:val="18"/>
              </w:rPr>
              <w:t>The learning outcomes and award standard are equivalent across approved modes. Delivery methods may differ, but online learners must receive clear information, meaningful interaction, support, fair assessment and reliable records.</w:t>
            </w:r>
          </w:p>
        </w:tc>
      </w:tr>
    </w:tbl>
    <w:p>
      <w:pPr>
        <w:spacing w:after="0"/>
      </w:pPr>
    </w:p>
    <w:p>
      <w:pPr>
        <w:pStyle w:val="Heading1"/>
      </w:pPr>
      <w:r>
        <w:t>Modes and definitions</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223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Mode</w:t>
            </w:r>
          </w:p>
        </w:tc>
        <w:tc>
          <w:tcPr>
            <w:tcW w:type="dxa" w:w="37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Definition</w:t>
            </w:r>
          </w:p>
        </w:tc>
        <w:tc>
          <w:tcPr>
            <w:tcW w:type="dxa" w:w="3499"/>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Minimum design expectation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Technology-supported in-person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Digital resources or activities complement classroom delivery.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Resources, access support and backup method.</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Hybrid session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Some participants attend physically while others join synchronously online.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Equal participation plan, audio/video quality and facilitation support.</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Blended programme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Planned combination of in-person, synchronous and asynchronous learning.</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Integrated sequence and workload; no duplication.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Online cohort-based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Scheduled online programme with faculty and peer interaction.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Regular facilitation, community and learner monitoring.</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Self-paced online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Learner progresses within a defined access period.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Clear pathway, automated/human support and timely assessment.</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Low-bandwidth / offline-supported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Materials and communication adapted for limited connectivity.</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Downloadable resources, alternative submission and synchronisation controls.</w:t>
            </w:r>
          </w:p>
        </w:tc>
      </w:tr>
    </w:tbl>
    <w:p>
      <w:pPr>
        <w:spacing w:after="0"/>
      </w:pPr>
    </w:p>
    <w:p>
      <w:pPr>
        <w:pStyle w:val="Heading1"/>
      </w:pPr>
      <w:r>
        <w:t>Digital learning quality standards</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Standard</w:t>
            </w:r>
          </w:p>
        </w:tc>
        <w:tc>
          <w:tcPr>
            <w:tcW w:type="dxa" w:w="753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Required practice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DL1 Orientation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Learners receive login, navigation, timetable, technology, support, conduct and assessment guidance.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DL2 Course structure</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Consistent module pattern: purpose, outcomes, preparation, learning, practice, assessment and support.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DL3 Presence and interaction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Faculty presence, purposeful peer interaction and response expectations are stated.</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DL4 Inclusive design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Readable formats, captions/transcripts where feasible, accessible documents, keyboard-friendly navigation and alternatives.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DL5 Engagement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Meaningful activities, progress monitoring and early support for disengagement.</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DL6 Assessment</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Secure submission, identity/authenticity controls, approved tools, feedback and moderation.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DL7 Data and privacy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Approved platforms, minimum data collection, permissions, retention and incident handling.</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DL8 Resilience</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Contingency for outage, connectivity, faculty absence, security incident and regional disruption.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DL9 Support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Published academic, technical, administrative and safeguarding contact routes.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DL10 Evaluation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Analytics, feedback, completion, achievement, accessibility and incident trends inform review.</w:t>
            </w:r>
          </w:p>
        </w:tc>
      </w:tr>
    </w:tbl>
    <w:p>
      <w:pPr>
        <w:spacing w:after="0"/>
      </w:pPr>
    </w:p>
    <w:p>
      <w:pPr>
        <w:pStyle w:val="Heading1"/>
      </w:pPr>
      <w:r>
        <w:t>Course design workflow</w:t>
      </w:r>
    </w:p>
    <w:tbl>
      <w:tblPr>
        <w:tblW w:type="auto" w:w="0"/>
        <w:jc w:val="center"/>
        <w:tblLayout w:type="fixed"/>
        <w:tblLook w:firstColumn="1" w:firstRow="1" w:lastColumn="0" w:lastRow="0" w:noHBand="0" w:noVBand="1" w:val="04A0"/>
      </w:tblPr>
      <w:tblGrid>
        <w:gridCol w:w="1639"/>
        <w:gridCol w:w="1639"/>
        <w:gridCol w:w="1639"/>
        <w:gridCol w:w="1639"/>
        <w:gridCol w:w="1639"/>
        <w:gridCol w:w="1639"/>
      </w:tblGrid>
      <w:tr>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Analyse</w:t>
            </w:r>
          </w:p>
          <w:p>
            <w:pPr>
              <w:spacing w:after="0"/>
              <w:jc w:val="center"/>
            </w:pPr>
            <w:r>
              <w:rPr>
                <w:color w:val="5B6777"/>
                <w:sz w:val="14"/>
              </w:rPr>
              <w:t>Learners, context and access</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Design</w:t>
            </w:r>
          </w:p>
          <w:p>
            <w:pPr>
              <w:spacing w:after="0"/>
              <w:jc w:val="center"/>
            </w:pPr>
            <w:r>
              <w:rPr>
                <w:color w:val="5B6777"/>
                <w:sz w:val="14"/>
              </w:rPr>
              <w:t>Outcomes and sequence</w:t>
            </w:r>
          </w:p>
        </w:tc>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Develop</w:t>
            </w:r>
          </w:p>
          <w:p>
            <w:pPr>
              <w:spacing w:after="0"/>
              <w:jc w:val="center"/>
            </w:pPr>
            <w:r>
              <w:rPr>
                <w:color w:val="5B6777"/>
                <w:sz w:val="14"/>
              </w:rPr>
              <w:t>Accessible content and activities</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Test</w:t>
            </w:r>
          </w:p>
          <w:p>
            <w:pPr>
              <w:spacing w:after="0"/>
              <w:jc w:val="center"/>
            </w:pPr>
            <w:r>
              <w:rPr>
                <w:color w:val="5B6777"/>
                <w:sz w:val="14"/>
              </w:rPr>
              <w:t>Device, browser, links and roles</w:t>
            </w:r>
          </w:p>
        </w:tc>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Deliver</w:t>
            </w:r>
          </w:p>
          <w:p>
            <w:pPr>
              <w:spacing w:after="0"/>
              <w:jc w:val="center"/>
            </w:pPr>
            <w:r>
              <w:rPr>
                <w:color w:val="5B6777"/>
                <w:sz w:val="14"/>
              </w:rPr>
              <w:t>Facilitation and support</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Evaluate</w:t>
            </w:r>
          </w:p>
          <w:p>
            <w:pPr>
              <w:spacing w:after="0"/>
              <w:jc w:val="center"/>
            </w:pPr>
            <w:r>
              <w:rPr>
                <w:color w:val="5B6777"/>
                <w:sz w:val="14"/>
              </w:rPr>
              <w:t>Data, feedback and improvement</w:t>
            </w:r>
          </w:p>
        </w:tc>
      </w:tr>
    </w:tbl>
    <w:p>
      <w:pPr>
        <w:pStyle w:val="Heading1"/>
      </w:pPr>
      <w:r>
        <w:t>Standard LMS course shell</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Area</w:t>
            </w:r>
          </w:p>
        </w:tc>
        <w:tc>
          <w:tcPr>
            <w:tcW w:type="dxa" w:w="753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Required content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Start here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Welcome, programme overview, faculty, orientation, support, policies and diagnostic.</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Module pages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Outcomes, estimated time, preparation, content, activity, assessment and summary.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Communication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Announcements, discussion norms, office hours and response-time expectations.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Assessment</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Briefs, rubrics, submission links, deadlines, integrity/AI rules and feedback.</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Progress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Completion indicators, attendance/engagement rules and learner dashboard.</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Resources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Accessible files, links, references, licences and downloadable/low-bandwidth options.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Help and wellbeing</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Technical support, academic support, accessibility, safeguarding, complaint and emergency routes.</w:t>
            </w:r>
          </w:p>
        </w:tc>
      </w:tr>
    </w:tbl>
    <w:p>
      <w:pPr>
        <w:spacing w:after="0"/>
      </w:pPr>
    </w:p>
    <w:p>
      <w:pPr>
        <w:pStyle w:val="Heading1"/>
      </w:pPr>
      <w:r>
        <w:t>Synchronous online and hybrid sessions</w:t>
      </w:r>
    </w:p>
    <w:p>
      <w:pPr>
        <w:pStyle w:val="ListBullet"/>
        <w:ind w:left="317" w:hanging="173"/>
      </w:pPr>
      <w:r>
        <w:t>Test host rights, links, audio, display, recording settings and backup host before the session.</w:t>
      </w:r>
    </w:p>
    <w:p>
      <w:pPr>
        <w:pStyle w:val="ListBullet"/>
        <w:ind w:left="317" w:hanging="173"/>
      </w:pPr>
      <w:r>
        <w:t>Use a named facilitator and, for high-stakes or large sessions, a technical moderator.</w:t>
      </w:r>
    </w:p>
    <w:p>
      <w:pPr>
        <w:pStyle w:val="ListBullet"/>
        <w:ind w:left="317" w:hanging="173"/>
      </w:pPr>
      <w:r>
        <w:t>Communicate time zone, access link, preparation, recording and participation expectations.</w:t>
      </w:r>
    </w:p>
    <w:p>
      <w:pPr>
        <w:pStyle w:val="ListBullet"/>
        <w:ind w:left="317" w:hanging="173"/>
      </w:pPr>
      <w:r>
        <w:t>Design participation for remote and in-room learners; avoid treating remote participants as observers.</w:t>
      </w:r>
    </w:p>
    <w:p>
      <w:pPr>
        <w:pStyle w:val="ListBullet"/>
        <w:ind w:left="317" w:hanging="173"/>
      </w:pPr>
      <w:r>
        <w:t>Use polls, chat, breakout groups, cases and structured dialogue rather than continuous lecture.</w:t>
      </w:r>
    </w:p>
    <w:p>
      <w:pPr>
        <w:pStyle w:val="ListBullet"/>
        <w:ind w:left="317" w:hanging="173"/>
      </w:pPr>
      <w:r>
        <w:t>Record only where approved, with notice and a lawful/consented purpose; protect recordings and access.</w:t>
      </w:r>
    </w:p>
    <w:p>
      <w:pPr>
        <w:pStyle w:val="ListBullet"/>
        <w:ind w:left="317" w:hanging="173"/>
      </w:pPr>
      <w:r>
        <w:t>Provide alternative evidence or catch-up route where disruption prevents participation and attendance is not itself the competence.</w:t>
      </w:r>
    </w:p>
    <w:p>
      <w:pPr>
        <w:pStyle w:val="Heading1"/>
      </w:pPr>
      <w:r>
        <w:t>Faculty presence and service expectations</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Activity</w:t>
            </w:r>
          </w:p>
        </w:tc>
        <w:tc>
          <w:tcPr>
            <w:tcW w:type="dxa" w:w="623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Default expectation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Announcement / weekly orientation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At start of each module or learning week.</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Routine learner question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Acknowledge within 2 working days; resolve or refer within stated service target.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Assessment feedback</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Within the published turnaround time, normally 10 working days unless specified.</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Discussion facilitation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Regular, purposeful presence that advances learning without dominating.</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At-risk learner response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Prompt outreach according to early-alert trigger and safeguarding protocol.</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Platform incident</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Report immediately to designated digital support; communicate contingency.</w:t>
            </w:r>
          </w:p>
        </w:tc>
      </w:tr>
    </w:tbl>
    <w:p>
      <w:pPr>
        <w:spacing w:after="0"/>
      </w:pPr>
    </w:p>
    <w:p>
      <w:pPr>
        <w:pStyle w:val="Heading1"/>
      </w:pPr>
      <w:r>
        <w:t>Attendance, engagement and early alert</w:t>
      </w:r>
    </w:p>
    <w:p>
      <w:r>
        <w:t>Online attendance is not inferred solely from login. Programmes define meaningful engagement evidence such as session participation, activity completion, contribution, submission or progress. Analytics inform support but must be interpreted carefully and not used as an undisclosed automated academic decision.</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302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Trigger</w:t>
            </w:r>
          </w:p>
        </w:tc>
        <w:tc>
          <w:tcPr>
            <w:tcW w:type="dxa" w:w="64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Response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No access after enrolment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Check credentials, orientation, device/connectivity and contact details.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Missed mandatory session / deadline</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Contact learner, clarify reason, refer to extension/deferral/support rules.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Sustained inactivity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Early-alert review by programme team; document outreach and agreed plan.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Abrupt change or concerning communication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Apply wellbeing/safeguarding escalation without diagnosing or over-collecting data.</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Repeated technology barrier</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Offer feasible low-bandwidth or alternative route; review mode suitability.</w:t>
            </w:r>
          </w:p>
        </w:tc>
      </w:tr>
    </w:tbl>
    <w:p>
      <w:pPr>
        <w:spacing w:after="0"/>
      </w:pPr>
    </w:p>
    <w:p>
      <w:pPr>
        <w:pStyle w:val="Heading1"/>
      </w:pPr>
      <w:r>
        <w:t>Accessibility and universal design</w:t>
      </w:r>
    </w:p>
    <w:p>
      <w:pPr>
        <w:pStyle w:val="ListBullet"/>
        <w:ind w:left="317" w:hanging="173"/>
      </w:pPr>
      <w:r>
        <w:t>Use heading styles, logical reading order, descriptive links, alt text and sufficient contrast.</w:t>
      </w:r>
    </w:p>
    <w:p>
      <w:pPr>
        <w:pStyle w:val="ListBullet"/>
        <w:ind w:left="317" w:hanging="173"/>
      </w:pPr>
      <w:r>
        <w:t>Provide captions or transcripts for essential audio/video where feasible and prioritise high-use or required content.</w:t>
      </w:r>
    </w:p>
    <w:p>
      <w:pPr>
        <w:pStyle w:val="ListBullet"/>
        <w:ind w:left="317" w:hanging="173"/>
      </w:pPr>
      <w:r>
        <w:t>Avoid communicating essential information only by colour, image, audio or timed interaction.</w:t>
      </w:r>
    </w:p>
    <w:p>
      <w:pPr>
        <w:pStyle w:val="ListBullet"/>
        <w:ind w:left="317" w:hanging="173"/>
      </w:pPr>
      <w:r>
        <w:t>Create accessible Word, PowerPoint and PDF resources and test them before release.</w:t>
      </w:r>
    </w:p>
    <w:p>
      <w:pPr>
        <w:pStyle w:val="ListBullet"/>
        <w:ind w:left="317" w:hanging="173"/>
      </w:pPr>
      <w:r>
        <w:t>Allow keyboard navigation and avoid inaccessible scanned documents.</w:t>
      </w:r>
    </w:p>
    <w:p>
      <w:pPr>
        <w:pStyle w:val="ListBullet"/>
        <w:ind w:left="317" w:hanging="173"/>
      </w:pPr>
      <w:r>
        <w:t>Provide a confidential reasonable-adjustment process and document agreed alternatives.</w:t>
      </w:r>
    </w:p>
    <w:p>
      <w:pPr>
        <w:pStyle w:val="Heading1"/>
      </w:pPr>
      <w:r>
        <w:t>Privacy, cybersecurity and acceptable use</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Control area</w:t>
            </w:r>
          </w:p>
        </w:tc>
        <w:tc>
          <w:tcPr>
            <w:tcW w:type="dxa" w:w="753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Minimum rule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Accounts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Unique account; strong password; multifactor authentication where available; no credential sharing.</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Roles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Least privilege; approved enrolment; prompt removal when role or access ends.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Content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Upload only authorised materials; respect copyright, licences, participant consent and confidentiality.</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Communication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Use approved channels for learner and assessment information; beware phishing and impersonation.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Devices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Update, lock and protect devices; avoid shared/public devices for sensitive assessment or records.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Data export</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Restrict downloads and spreadsheets; encrypt or protect approved transfers; delete local copies when no longer needed.</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Incidents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Report suspected breach, account compromise, harmful content or outage immediately; preserve evidence.</w:t>
            </w:r>
          </w:p>
        </w:tc>
      </w:tr>
    </w:tbl>
    <w:p>
      <w:pPr>
        <w:spacing w:after="0"/>
      </w:pPr>
    </w:p>
    <w:p>
      <w:pPr>
        <w:pStyle w:val="Heading1"/>
      </w:pPr>
      <w:r>
        <w:t>Business continuity</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Scenario</w:t>
            </w:r>
          </w:p>
        </w:tc>
        <w:tc>
          <w:tcPr>
            <w:tcW w:type="dxa" w:w="489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Continuity option</w:t>
            </w:r>
          </w:p>
        </w:tc>
        <w:tc>
          <w:tcPr>
            <w:tcW w:type="dxa" w:w="220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Decision authority</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Short platform outage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Extend deadline, use approved backup communication, retain submissions locally only if secure.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 lead / digital support.</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Extended outage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Activate alternative platform or offline pack; publish revised schedule and record impacts.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Dean / digital lead.</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Connectivity disruption affecting region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Asynchronous window, downloadable materials, alternative submission or cohort adjustment.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 lead with QA.</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Faculty unavailability</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Approved replacement, recorded material or rescheduling; protect continuity and assessment independence.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Dean / programme manager.</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Cybersecurity or privacy event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Suspend affected function, isolate access, incident response and lawful communication.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Digital infrastructure / executive lead.</w:t>
            </w:r>
          </w:p>
        </w:tc>
      </w:tr>
    </w:tbl>
    <w:p>
      <w:pPr>
        <w:spacing w:after="0"/>
      </w:pPr>
    </w:p>
    <w:p>
      <w:pPr>
        <w:pStyle w:val="Heading1"/>
      </w:pPr>
      <w:r>
        <w:t>Course launch checklist</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460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Check</w:t>
            </w:r>
          </w:p>
        </w:tc>
        <w:tc>
          <w:tcPr>
            <w:tcW w:type="dxa" w:w="223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Owner</w:t>
            </w:r>
          </w:p>
        </w:tc>
        <w:tc>
          <w:tcPr>
            <w:tcW w:type="dxa" w:w="263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Status / evidence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Approved specification and current course shell</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 lead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 ]</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Faculty induction and roles configured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 / digital team</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 ]</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Learner list, identity and access tested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Registry / digital team</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 ]</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All links, files, activities, dates and time zones tested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Course team</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 ]</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Accessibility and low-bandwidth review complete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Quality / course team</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 ]</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Assessment, rubrics, integrity and feedback settings complete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 team</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 ]</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Support, safeguarding, complaints and contingency information visible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Student affairs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 ]</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Backup/export and incident contacts confirmed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Digital infrastructure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 ]</w:t>
            </w:r>
          </w:p>
        </w:tc>
      </w:tr>
    </w:tbl>
    <w:p>
      <w:pPr>
        <w:spacing w:after="0"/>
      </w:pPr>
    </w:p>
    <w:p>
      <w:pPr>
        <w:pStyle w:val="Heading1"/>
      </w:pPr>
      <w:r>
        <w:t>Reference framework and source notes</w:t>
      </w:r>
    </w:p>
    <w:p>
      <w:r>
        <w:t>This document should be read with current Somali law, RIYAADA governing instruments and applicable international standards. External references are used for alignment and do not imply certification, accreditation or formal endorsement.</w:t>
      </w:r>
    </w:p>
    <w:p>
      <w:pPr>
        <w:pStyle w:val="ListBullet"/>
      </w:pPr>
      <w:hyperlink r:id="rId12">
        <w:r>
          <w:rPr>
            <w:color w:val="0F8B8D"/>
            <w:u w:val="single"/>
          </w:rPr>
          <w:t>Web Content Accessibility Guidelines (WCAG) 2.2</w:t>
        </w:r>
      </w:hyperlink>
    </w:p>
    <w:p>
      <w:pPr>
        <w:pStyle w:val="ListBullet"/>
      </w:pPr>
      <w:hyperlink r:id="rId13">
        <w:r>
          <w:rPr>
            <w:color w:val="0F8B8D"/>
            <w:u w:val="single"/>
          </w:rPr>
          <w:t>UNESCO Recommendation on Open Educational Resources</w:t>
        </w:r>
      </w:hyperlink>
    </w:p>
    <w:p>
      <w:pPr>
        <w:pStyle w:val="ListBullet"/>
      </w:pPr>
      <w:hyperlink r:id="rId14">
        <w:r>
          <w:rPr>
            <w:color w:val="0F8B8D"/>
            <w:u w:val="single"/>
          </w:rPr>
          <w:t>RIYAADA Academy Online</w:t>
        </w:r>
      </w:hyperlink>
    </w:p>
    <w:p>
      <w:pPr>
        <w:pStyle w:val="ListBullet"/>
      </w:pPr>
      <w:r>
        <w:t>RIYAADA Information Security, Privacy, Assessment and Quality policies.</w:t>
      </w:r>
    </w:p>
    <w:p>
      <w:pPr>
        <w:pStyle w:val="Heading1"/>
      </w:pPr>
      <w:r>
        <w:t>Implementation record</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Action</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Owner</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Due date</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Evidence / status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 and publication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&amp; Online Education / Quality Assurance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minute / approval reference]</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Staff briefing and learner communication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Relevant directorate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[Briefing record / webpage]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Systems and forms configured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 Registry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[Configuration test / form register]</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compliance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&amp; Online Education /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[Audit report / improvement log]</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VERSION CONTROL</w:t>
            </w:r>
          </w:p>
          <w:p>
            <w:pPr>
              <w:spacing w:after="0"/>
            </w:pPr>
            <w:r>
              <w:rPr>
                <w:color w:val="17202A"/>
                <w:sz w:val="18"/>
              </w:rPr>
              <w:t>Only the version held in the RIYAADA controlled document repository is authoritative. Obsolete versions must be archived, watermarked “Superseded”, and removed from active webpages and shared drives.</w:t>
            </w:r>
          </w:p>
        </w:tc>
      </w:tr>
    </w:tbl>
    <w:p>
      <w:pPr>
        <w:spacing w:after="0"/>
      </w:pPr>
    </w:p>
    <w:sectPr w:rsidR="00FC693F" w:rsidRPr="0006063C" w:rsidSect="00034616">
      <w:headerReference w:type="default" r:id="rId9"/>
      <w:footerReference w:type="default" r:id="rId10"/>
      <w:pgSz w:w="11909" w:h="16834"/>
      <w:pgMar w:top="1037" w:right="1037" w:bottom="1037" w:left="1037" w:header="360"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3528"/>
          <w:tcBorders>
            <w:top w:sz="8" w:val="single" w:color="D4A72C"/>
          </w:tcBorders>
          <w:tcMar>
            <w:top w:w="35" w:type="dxa"/>
            <w:start w:w="35" w:type="dxa"/>
            <w:bottom w:w="35" w:type="dxa"/>
            <w:end w:w="35" w:type="dxa"/>
          </w:tcMar>
        </w:tcPr>
        <w:p>
          <w:pPr>
            <w:spacing w:after="0"/>
          </w:pPr>
          <w:r>
            <w:rPr>
              <w:b/>
              <w:color w:val="0B1F3A"/>
              <w:sz w:val="14"/>
            </w:rPr>
            <w:t>RIYAADA  |  LEARN. QUALIFY. LEAD.</w:t>
          </w:r>
        </w:p>
      </w:tc>
      <w:tc>
        <w:tcPr>
          <w:tcW w:type="dxa" w:w="3456"/>
          <w:tcBorders>
            <w:top w:sz="8" w:val="single" w:color="D4A72C"/>
          </w:tcBorders>
          <w:tcMar>
            <w:top w:w="35" w:type="dxa"/>
            <w:start w:w="35" w:type="dxa"/>
            <w:bottom w:w="35" w:type="dxa"/>
            <w:end w:w="35" w:type="dxa"/>
          </w:tcMar>
        </w:tcPr>
        <w:p>
          <w:pPr>
            <w:spacing w:after="0"/>
            <w:jc w:val="center"/>
          </w:pPr>
          <w:r>
            <w:rPr>
              <w:color w:val="0F8B8D"/>
              <w:sz w:val="14"/>
            </w:rPr>
            <w:t>riyaadaacademy.com</w:t>
          </w:r>
        </w:p>
      </w:tc>
      <w:tc>
        <w:tcPr>
          <w:tcW w:type="dxa" w:w="2837"/>
          <w:tcBorders>
            <w:top w:sz="8" w:val="single" w:color="D4A72C"/>
          </w:tcBorders>
          <w:tcMar>
            <w:top w:w="35" w:type="dxa"/>
            <w:start w:w="35" w:type="dxa"/>
            <w:bottom w:w="35" w:type="dxa"/>
            <w:end w:w="35" w:type="dxa"/>
          </w:tcMar>
        </w:tcPr>
        <w:p>
          <w:pPr>
            <w:spacing w:after="0"/>
            <w:jc w:val="right"/>
          </w:pPr>
          <w:r>
            <w:rPr>
              <w:sz w:val="14"/>
            </w:rPr>
            <w:t xml:space="preserve">Page </w:t>
          </w:r>
          <w:r>
            <w:fldChar w:fldCharType="begin"/>
          </w:r>
          <w:r>
            <w:instrText xml:space="preserve">PAGE</w:instrText>
          </w:r>
          <w:r>
            <w:fldChar w:fldCharType="separate"/>
          </w:r>
          <w:r>
            <w:t>1</w:t>
          </w:r>
          <w:r>
            <w:fldChar w:fldCharType="end"/>
          </w:r>
          <w:r>
            <w:rPr>
              <w:sz w:val="14"/>
            </w:rPr>
            <w:t xml:space="preserve"> of </w:t>
          </w:r>
          <w:r>
            <w:fldChar w:fldCharType="begin"/>
          </w:r>
          <w:r>
            <w:instrText xml:space="preserve">NUMPAGES</w:instrText>
          </w:r>
          <w:r>
            <w:fldChar w:fldCharType="separate"/>
          </w:r>
          <w:r>
            <w:t>1</w:t>
          </w:r>
          <w: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864"/>
          <w:tcBorders>
            <w:bottom w:sz="8" w:val="single" w:color="D4A72C"/>
          </w:tcBorders>
          <w:tcMar>
            <w:top w:w="35" w:type="dxa"/>
            <w:start w:w="35" w:type="dxa"/>
            <w:bottom w:w="35" w:type="dxa"/>
            <w:end w:w="35" w:type="dxa"/>
          </w:tcMar>
        </w:tcPr>
        <w:p>
          <w:pPr>
            <w:jc w:val="center"/>
          </w:pPr>
          <w:r>
            <w:drawing>
              <wp:inline xmlns:a="http://schemas.openxmlformats.org/drawingml/2006/main" xmlns:pic="http://schemas.openxmlformats.org/drawingml/2006/picture">
                <wp:extent cx="384048" cy="384048"/>
                <wp:docPr id="1" name="Picture 1" descr="Image: item1.xml"/>
                <wp:cNvGraphicFramePr>
                  <a:graphicFrameLocks noChangeAspect="1"/>
                </wp:cNvGraphicFramePr>
                <a:graphic>
                  <a:graphicData uri="http://schemas.openxmlformats.org/drawingml/2006/picture">
                    <pic:pic>
                      <pic:nvPicPr>
                        <pic:cNvPr id="0" name="riyaada_mark.png"/>
                        <pic:cNvPicPr/>
                      </pic:nvPicPr>
                      <pic:blipFill>
                        <a:blip r:embed="rId1"/>
                        <a:stretch>
                          <a:fillRect/>
                        </a:stretch>
                      </pic:blipFill>
                      <pic:spPr>
                        <a:xfrm>
                          <a:off x="0" y="0"/>
                          <a:ext cx="384048" cy="384048"/>
                        </a:xfrm>
                        <a:prstGeom prst="rect"/>
                      </pic:spPr>
                    </pic:pic>
                  </a:graphicData>
                </a:graphic>
              </wp:inline>
            </w:drawing>
          </w:r>
        </w:p>
      </w:tc>
      <w:tc>
        <w:tcPr>
          <w:tcW w:type="dxa" w:w="6998"/>
          <w:tcBorders>
            <w:bottom w:sz="8" w:val="single" w:color="D4A72C"/>
          </w:tcBorders>
          <w:tcMar>
            <w:top w:w="35" w:type="dxa"/>
            <w:start w:w="35" w:type="dxa"/>
            <w:bottom w:w="35" w:type="dxa"/>
            <w:end w:w="35" w:type="dxa"/>
          </w:tcMar>
        </w:tcPr>
        <w:p>
          <w:pPr>
            <w:spacing w:after="0"/>
          </w:pPr>
          <w:r>
            <w:rPr>
              <w:b/>
              <w:color w:val="0B1F3A"/>
              <w:sz w:val="16"/>
            </w:rPr>
            <w:t>RIYAADA Institute for Leadership &amp; Governance</w:t>
          </w:r>
          <w:r>
            <w:rPr>
              <w:sz w:val="14"/>
            </w:rPr>
            <w:br/>
            <w:t>Digital Learning</w:t>
          </w:r>
        </w:p>
      </w:tc>
      <w:tc>
        <w:tcPr>
          <w:tcW w:type="dxa" w:w="1958"/>
          <w:tcBorders>
            <w:bottom w:sz="8" w:val="single" w:color="D4A72C"/>
          </w:tcBorders>
          <w:tcMar>
            <w:top w:w="35" w:type="dxa"/>
            <w:start w:w="35" w:type="dxa"/>
            <w:bottom w:w="35" w:type="dxa"/>
            <w:end w:w="35" w:type="dxa"/>
          </w:tcMar>
        </w:tcPr>
        <w:p>
          <w:pPr>
            <w:spacing w:after="0"/>
            <w:jc w:val="right"/>
          </w:pPr>
          <w:r>
            <w:rPr>
              <w:b/>
              <w:color w:val="0F8B8D"/>
              <w:sz w:val="15"/>
            </w:rPr>
            <w:t>RIY-DL-POL-008</w:t>
          </w:r>
          <w:r>
            <w:rPr>
              <w:sz w:val="13"/>
            </w:rPr>
            <w:br/>
            <w:t>CONTROLLED</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B6668"/>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D4A7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B1F3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ptos Display" w:hAnsi="Aptos Display"/>
      <w:b/>
      <w:i/>
      <w:iCs/>
      <w:color w:val="0F8B8D"/>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YAADAEyebrow">
    <w:name w:val="RIYAADA Eyebrow"/>
    <w:pPr>
      <w:spacing w:after="80"/>
      <w:jc w:val="left"/>
    </w:pPr>
    <w:rPr>
      <w:rFonts w:ascii="Aptos" w:hAnsi="Aptos"/>
      <w:b/>
      <w:color w:val="D4A72C"/>
      <w:sz w:val="17"/>
    </w:rPr>
  </w:style>
  <w:style w:type="paragraph" w:customStyle="1" w:styleId="RIYAADALead">
    <w:name w:val="RIYAADA Lead"/>
    <w:pPr>
      <w:spacing w:after="80"/>
      <w:jc w:val="left"/>
    </w:pPr>
    <w:rPr>
      <w:rFonts w:ascii="Aptos" w:hAnsi="Aptos"/>
      <w:b w:val="0"/>
      <w:color w:val="5B6777"/>
      <w:sz w:val="24"/>
    </w:rPr>
  </w:style>
  <w:style w:type="paragraph" w:customStyle="1" w:styleId="RIYAADASmall">
    <w:name w:val="RIYAADA Small"/>
    <w:pPr>
      <w:spacing w:after="80"/>
      <w:jc w:val="left"/>
    </w:pPr>
    <w:rPr>
      <w:rFonts w:ascii="Aptos" w:hAnsi="Aptos"/>
      <w:b w:val="0"/>
      <w:color w:val="5B6777"/>
      <w:sz w:val="17"/>
    </w:rPr>
  </w:style>
  <w:style w:type="paragraph" w:customStyle="1" w:styleId="RIYAADAQuote">
    <w:name w:val="RIYAADA Quote"/>
    <w:pPr>
      <w:spacing w:after="80"/>
      <w:jc w:val="center"/>
    </w:pPr>
    <w:rPr>
      <w:rFonts w:ascii="Aptos" w:hAnsi="Aptos"/>
      <w:b w:val="0"/>
      <w:color w:val="163A5F"/>
      <w:sz w:val="22"/>
    </w:rPr>
  </w:style>
  <w:style w:type="paragraph" w:customStyle="1" w:styleId="RIYAADATable">
    <w:name w:val="RIYAADA Table"/>
    <w:pPr>
      <w:spacing w:after="80"/>
      <w:jc w:val="left"/>
    </w:pPr>
    <w:rPr>
      <w:rFonts w:ascii="Aptos" w:hAnsi="Aptos"/>
      <w:b w:val="0"/>
      <w:color w:val="17202A"/>
      <w:sz w:val="18"/>
    </w:rPr>
  </w:style>
  <w:style w:type="table" w:customStyle="1" w:styleId="RIYAADATableGrid">
    <w:name w:val="RIYAADA Table Grid"/>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w3.org/TR/WCAG22/" TargetMode="External"/><Relationship Id="rId13" Type="http://schemas.openxmlformats.org/officeDocument/2006/relationships/hyperlink" Target="https://www.unesco.org/en/legal-affairs/recommendation-open-educational-resources-oer" TargetMode="External"/><Relationship Id="rId14" Type="http://schemas.openxmlformats.org/officeDocument/2006/relationships/hyperlink" Target="https://www.riyaadaacademy.onl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 RIYAADA Online Blended Learning Policy 2026</dc:title>
  <dc:subject>RIYAADA institutional controlled document</dc:subject>
  <dc:creator>RIYAADA Institute for Leadership &amp; Governance</dc:creator>
  <cp:keywords>RIYAADA, leadership, governance, quality assurance, executive education</cp:keywords>
  <dc:description>Controlled draft prepared July 2026. Verify all editable fields before approval.</dc:description>
  <cp:lastModifiedBy/>
  <cp:revision>1</cp:revision>
  <dcterms:created xsi:type="dcterms:W3CDTF">2013-12-23T23:15:00Z</dcterms:created>
  <dcterms:modified xsi:type="dcterms:W3CDTF">2013-12-23T23:15:00Z</dcterms:modified>
  <cp:category/>
</cp:coreProperties>
</file>