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Admissions &amp; Learner Eligibility Policy</w:t>
      </w:r>
    </w:p>
    <w:p>
      <w:pPr>
        <w:pStyle w:val="Subtitle"/>
        <w:jc w:val="center"/>
      </w:pPr>
      <w:r>
        <w:t>Fair access, transparent decisions and reliable learner records</w:t>
      </w:r>
    </w:p>
    <w:p>
      <w:pPr>
        <w:jc w:val="center"/>
      </w:pPr>
      <w:r>
        <w:rPr>
          <w:b/>
          <w:color w:val="D4A72C"/>
          <w:sz w:val="24"/>
        </w:rPr>
        <w:t>LEARN. QUALIFY. LEAD.</w:t>
      </w:r>
    </w:p>
    <w:p>
      <w:pPr>
        <w:ind w:left="720" w:right="720"/>
        <w:jc w:val="center"/>
      </w:pPr>
      <w:r>
        <w:rPr>
          <w:i/>
          <w:color w:val="5B6777"/>
          <w:sz w:val="21"/>
        </w:rPr>
        <w:t>The admissions policy for executive, professional, online, blended and institutionally commissioned RIYAADA learning.</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RIY-ADM-POL-006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Admissions &amp; Learner Eligibility Policy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RIY-ADM-POL-006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Policy statement</w:t>
      </w:r>
    </w:p>
    <w:p>
      <w:r>
        <w:t>RIYAADA admits learners through published, proportionate and consistently applied criteria. Admissions decisions are based on programme readiness, relevant qualifications or experience, identity and evidence requirements, cohort capacity, safeguarding and the reasonable likelihood that the applicant can participate and benefit. RIYAADA promotes inclusion while protecting programme standards and truthful public information.</w:t>
      </w:r>
    </w:p>
    <w:tbl>
      <w:tblPr>
        <w:tblW w:type="auto" w:w="0"/>
        <w:jc w:val="center"/>
        <w:tblLayout w:type="fixed"/>
        <w:tblLook w:firstColumn="1" w:firstRow="1" w:lastColumn="0" w:lastRow="0" w:noHBand="0" w:noVBand="1" w:val="04A0"/>
      </w:tblPr>
      <w:tblGrid>
        <w:gridCol w:w="4917"/>
        <w:gridCol w:w="4917"/>
      </w:tblGrid>
      <w:tr>
        <w:tc>
          <w:tcPr>
            <w:tcW w:type="dxa" w:w="187"/>
            <w:shd w:fill="A23E48"/>
            <w:tcMar>
              <w:top w:w="90" w:type="dxa"/>
              <w:start w:w="100" w:type="dxa"/>
              <w:bottom w:w="90" w:type="dxa"/>
              <w:end w:w="100" w:type="dxa"/>
            </w:tcMar>
          </w:tcPr>
          <w:p/>
        </w:tc>
        <w:tc>
          <w:tcPr>
            <w:tcW w:type="dxa" w:w="9288"/>
            <w:shd w:fill="FCEDEF"/>
            <w:tcMar>
              <w:top w:w="90" w:type="dxa"/>
              <w:start w:w="100" w:type="dxa"/>
              <w:bottom w:w="90" w:type="dxa"/>
              <w:end w:w="100" w:type="dxa"/>
            </w:tcMar>
          </w:tcPr>
          <w:p>
            <w:pPr>
              <w:spacing w:after="40"/>
            </w:pPr>
            <w:r>
              <w:rPr>
                <w:b/>
                <w:color w:val="A23E48"/>
                <w:sz w:val="18"/>
              </w:rPr>
              <w:t>NO PAYMENT GUARANTEE</w:t>
            </w:r>
          </w:p>
          <w:p>
            <w:pPr>
              <w:spacing w:after="0"/>
            </w:pPr>
            <w:r>
              <w:rPr>
                <w:color w:val="17202A"/>
                <w:sz w:val="18"/>
              </w:rPr>
              <w:t>Payment, sponsorship, nomination, referral or institutional position does not guarantee admission, progression, completion or award. Academic and eligibility requirements remain applicable.</w:t>
            </w:r>
          </w:p>
        </w:tc>
      </w:tr>
    </w:tbl>
    <w:p>
      <w:pPr>
        <w:spacing w:after="0"/>
      </w:pPr>
    </w:p>
    <w:p>
      <w:pPr>
        <w:pStyle w:val="Heading1"/>
      </w:pPr>
      <w:r>
        <w:t>Admissions principles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8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Principle</w:t>
            </w:r>
          </w:p>
        </w:tc>
        <w:tc>
          <w:tcPr>
            <w:tcW w:type="dxa" w:w="767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Commitment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Transparency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Publish programme outcomes, workload, eligibility, mode, fees, dates, award, technology needs and selection method.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Consistency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Use approved criteria and document reasons for decisions and exceptions.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Inclusion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Avoid unlawful discrimination and consider reasonable adjustments and alternative evidence where standards remain intact.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Proportionality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Request only evidence needed for eligibility, identity, safeguarding, funding or regulatory requirements.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Integrity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Verify material claims and act on falsified applications or impersonation.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Data protection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Limit access, retain records according to schedule and communicate use of applicant data.</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Learner success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Assess readiness and provide accurate advice, bridging or referral rather than admitting applicants to unsuitable pathways.</w:t>
            </w:r>
          </w:p>
        </w:tc>
      </w:tr>
    </w:tbl>
    <w:p>
      <w:pPr>
        <w:spacing w:after="0"/>
      </w:pPr>
    </w:p>
    <w:p>
      <w:pPr>
        <w:pStyle w:val="Heading1"/>
      </w:pPr>
      <w:r>
        <w:t>General eligibility categories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27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Programme category</w:t>
            </w:r>
          </w:p>
        </w:tc>
        <w:tc>
          <w:tcPr>
            <w:tcW w:type="dxa" w:w="460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Typical eligibility</w:t>
            </w:r>
          </w:p>
        </w:tc>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Alternative route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Executive programmes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Senior or middle-management responsibility; relevant leadership experience; employer/role context.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Exceptional professional portfolio and interview.</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Advanced professional certificates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Relevant degree/diploma or substantial professional experience; subject prerequisites.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Recognition of prior experiential learning against documented criteria.</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Professional short courses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Relevant role, interest or foundational capability; language and digital readiness.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Open-enrolment route where no formal prerequisite applies.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and publishing programmes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Postgraduate study, research role or demonstrable writing/research experience.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concept note or writing sample.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Institutional cohorts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Nomination by partner plus individual eligibility and consent.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Bridging/segmented pathway where capability levels differ.</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Online self-paced learning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Identity, access, language and technology readiness appropriate to the course.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Offline/low-bandwidth support where available.</w:t>
            </w:r>
          </w:p>
        </w:tc>
      </w:tr>
    </w:tbl>
    <w:p>
      <w:pPr>
        <w:spacing w:after="0"/>
      </w:pPr>
    </w:p>
    <w:p>
      <w:pPr>
        <w:pStyle w:val="Heading1"/>
      </w:pPr>
      <w:r>
        <w:t>Programme-specific entry requirements template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88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Requirement</w:t>
            </w:r>
          </w:p>
        </w:tc>
        <w:tc>
          <w:tcPr>
            <w:tcW w:type="dxa" w:w="659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programme entry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Minimum qualification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[Insert / not applicable]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Professional experience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[Years / role / evidence]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Language proficiency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[Language and level / support available]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access and skills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[Device, browser, connectivity, basic skills]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Required documents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[Identity, qualification, CV, nomination, statement, other]</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Selection method</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[Automatic eligibility / scored review / interview / nomination]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Cohort constraints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[Seats, regional/gender balance, safeguarding, partner conditions]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Alternative entry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[Portfolio / interview / bridging / recognition of prior learning]</w:t>
            </w:r>
          </w:p>
        </w:tc>
      </w:tr>
    </w:tbl>
    <w:p>
      <w:pPr>
        <w:spacing w:after="0"/>
      </w:pPr>
    </w:p>
    <w:p>
      <w:pPr>
        <w:pStyle w:val="Heading1"/>
      </w:pPr>
      <w:r>
        <w:t>Admissions process</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Information</w:t>
            </w:r>
          </w:p>
          <w:p>
            <w:pPr>
              <w:spacing w:after="0"/>
              <w:jc w:val="center"/>
            </w:pPr>
            <w:r>
              <w:rPr>
                <w:color w:val="5B6777"/>
                <w:sz w:val="14"/>
              </w:rPr>
              <w:t>Approved public profile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Application</w:t>
            </w:r>
          </w:p>
          <w:p>
            <w:pPr>
              <w:spacing w:after="0"/>
              <w:jc w:val="center"/>
            </w:pPr>
            <w:r>
              <w:rPr>
                <w:color w:val="5B6777"/>
                <w:sz w:val="14"/>
              </w:rPr>
              <w:t>Complete and consent</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Verification</w:t>
            </w:r>
          </w:p>
          <w:p>
            <w:pPr>
              <w:spacing w:after="0"/>
              <w:jc w:val="center"/>
            </w:pPr>
            <w:r>
              <w:rPr>
                <w:color w:val="5B6777"/>
                <w:sz w:val="14"/>
              </w:rPr>
              <w:t>Identity and evidence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Eligibility</w:t>
            </w:r>
          </w:p>
          <w:p>
            <w:pPr>
              <w:spacing w:after="0"/>
              <w:jc w:val="center"/>
            </w:pPr>
            <w:r>
              <w:rPr>
                <w:color w:val="5B6777"/>
                <w:sz w:val="14"/>
              </w:rPr>
              <w:t>Criteria and readiness</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Selection</w:t>
            </w:r>
          </w:p>
          <w:p>
            <w:pPr>
              <w:spacing w:after="0"/>
              <w:jc w:val="center"/>
            </w:pPr>
            <w:r>
              <w:rPr>
                <w:color w:val="5B6777"/>
                <w:sz w:val="14"/>
              </w:rPr>
              <w:t>Scored / interview if needed</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Decision</w:t>
            </w:r>
          </w:p>
          <w:p>
            <w:pPr>
              <w:spacing w:after="0"/>
              <w:jc w:val="center"/>
            </w:pPr>
            <w:r>
              <w:rPr>
                <w:color w:val="5B6777"/>
                <w:sz w:val="14"/>
              </w:rPr>
              <w:t>Recorded outcome</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Acceptance</w:t>
            </w:r>
          </w:p>
          <w:p>
            <w:pPr>
              <w:spacing w:after="0"/>
              <w:jc w:val="center"/>
            </w:pPr>
            <w:r>
              <w:rPr>
                <w:color w:val="5B6777"/>
                <w:sz w:val="14"/>
              </w:rPr>
              <w:t>Terms and finance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Enrolment</w:t>
            </w:r>
          </w:p>
          <w:p>
            <w:pPr>
              <w:spacing w:after="0"/>
              <w:jc w:val="center"/>
            </w:pPr>
            <w:r>
              <w:rPr>
                <w:color w:val="5B6777"/>
                <w:sz w:val="14"/>
              </w:rPr>
              <w:t>Registry and induction</w:t>
            </w:r>
          </w:p>
        </w:tc>
      </w:tr>
    </w:tbl>
    <w:p>
      <w:pPr>
        <w:pStyle w:val="Heading1"/>
      </w:pPr>
      <w:r>
        <w:t>Application evidence and verification</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Evidence</w:t>
            </w:r>
          </w:p>
        </w:tc>
        <w:tc>
          <w:tcPr>
            <w:tcW w:type="dxa" w:w="460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Verification method</w:t>
            </w:r>
          </w:p>
        </w:tc>
        <w:tc>
          <w:tcPr>
            <w:tcW w:type="dxa" w:w="292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Control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Identity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ID, in-person/video check or institutional attestation.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Record minimum evidence; protect copies.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Qualifications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Original/certified copy, issuing-body check or verified digital credential.</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Flag unverifiable or altered documents.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Employment / nomination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Official letter, organisational email or referee contact.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Confirm sponsor does not override eligibility.</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Experience / portfolio</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CV, role history, outputs, interview or supervisor confirmation.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Use documented rubric for alternative entry.</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Language / digital readiness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Self-assessment, test, interview or orientation task.</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Offer support/bridging where feasible.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Funding / payment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Invoice, scholarship, purchase order or sponsorship confirmation.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Separate financial clearance from academic decision.</w:t>
            </w:r>
          </w:p>
        </w:tc>
      </w:tr>
    </w:tbl>
    <w:p>
      <w:pPr>
        <w:spacing w:after="0"/>
      </w:pPr>
    </w:p>
    <w:p>
      <w:pPr>
        <w:pStyle w:val="Heading1"/>
      </w:pPr>
      <w:r>
        <w:t>Decision categories and communication</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0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Decision</w:t>
            </w:r>
          </w:p>
        </w:tc>
        <w:tc>
          <w:tcPr>
            <w:tcW w:type="dxa" w:w="36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Meaning</w:t>
            </w:r>
          </w:p>
        </w:tc>
        <w:tc>
          <w:tcPr>
            <w:tcW w:type="dxa" w:w="397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Required communication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Unconditional offer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All core eligibility conditions met.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Programme, award, dates, mode, fees, terms, response deadline.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Conditional offer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Admission depends on specified evidence or action.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Exact condition, deadline and consequence of non-compliance.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Wait-list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Eligible but capacity/selection ranking prevents immediate offer.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Status, review point and no guarantee of place.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Alternative offer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Applicant better suited to another route.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Reason, programme differences and voluntary acceptance.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Not admitted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Criteria not met, evidence insufficient, capacity or risk prevents offer.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Concise reason and review/complaint route.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Cancelled / withdrawn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Applicant withdraws, fails condition, provides false evidence or cohort changes.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Basis, refund terms where applicable and record status.</w:t>
            </w:r>
          </w:p>
        </w:tc>
      </w:tr>
    </w:tbl>
    <w:p>
      <w:pPr>
        <w:spacing w:after="0"/>
      </w:pPr>
    </w:p>
    <w:p>
      <w:pPr>
        <w:pStyle w:val="Heading1"/>
      </w:pPr>
      <w:r>
        <w:t>Selection rubric template</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rPr>
          <w:tblHeader w:val="true"/>
        </w:trPr>
        <w:tc>
          <w:tcPr>
            <w:tcW w:type="dxa" w:w="172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Criterion</w:t>
            </w:r>
          </w:p>
        </w:tc>
        <w:tc>
          <w:tcPr>
            <w:tcW w:type="dxa" w:w="7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Weight</w:t>
            </w:r>
          </w:p>
        </w:tc>
        <w:tc>
          <w:tcPr>
            <w:tcW w:type="dxa" w:w="172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0 — insufficient</w:t>
            </w:r>
          </w:p>
        </w:tc>
        <w:tc>
          <w:tcPr>
            <w:tcW w:type="dxa" w:w="172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1 — partly meets</w:t>
            </w:r>
          </w:p>
        </w:tc>
        <w:tc>
          <w:tcPr>
            <w:tcW w:type="dxa" w:w="172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2 — meets</w:t>
            </w:r>
          </w:p>
        </w:tc>
        <w:tc>
          <w:tcPr>
            <w:tcW w:type="dxa" w:w="177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3 — exceeds</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Role relevance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No relevant context</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Limited relevance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Clear relevance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High strategic relevance</w:t>
            </w:r>
          </w:p>
        </w:tc>
      </w:tr>
      <w:tr>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Experience/readiness</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Not demonstrated</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Some evidence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Adequate evidence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Strong applied evidence</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Motivation and application</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Generic/unclear</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Partly connected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Clear learning need</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Compelling impact plan</w:t>
            </w:r>
          </w:p>
        </w:tc>
      </w:tr>
      <w:tr>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Cohort contribution</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Not evident</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Potential</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Useful perspective</w:t>
            </w:r>
          </w:p>
        </w:tc>
        <w:tc>
          <w:tcPr>
            <w:tcW w:type="dxa" w:w="163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Distinctive contribution</w:t>
            </w:r>
          </w:p>
        </w:tc>
      </w:tr>
      <w:tr>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Feasibility</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[__]</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Cannot participate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Major constraints</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Feasible</w:t>
            </w:r>
          </w:p>
        </w:tc>
        <w:tc>
          <w:tcPr>
            <w:tcW w:type="dxa" w:w="163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Strong support and readiness</w:t>
            </w:r>
          </w:p>
        </w:tc>
      </w:tr>
    </w:tbl>
    <w:p>
      <w:pPr>
        <w:spacing w:after="0"/>
      </w:pPr>
    </w:p>
    <w:p>
      <w:pPr>
        <w:pStyle w:val="Heading1"/>
      </w:pPr>
      <w:r>
        <w:t>Equity, reasonable adjustment and safeguarding</w:t>
      </w:r>
    </w:p>
    <w:p>
      <w:pPr>
        <w:pStyle w:val="ListBullet"/>
        <w:ind w:left="317" w:hanging="173"/>
      </w:pPr>
      <w:r>
        <w:t>Applicants may request reasonable adjustments for admissions activities and learning participation. The request is assessed confidentially and separately from academic merit where possible.</w:t>
      </w:r>
    </w:p>
    <w:p>
      <w:pPr>
        <w:pStyle w:val="ListBullet"/>
        <w:ind w:left="317" w:hanging="173"/>
      </w:pPr>
      <w:r>
        <w:t>RIYAADA may prioritise or reserve places for approved equity, regional, sectoral, partner or leadership-development objectives where these are transparent and consistent with programme purpose.</w:t>
      </w:r>
    </w:p>
    <w:p>
      <w:pPr>
        <w:pStyle w:val="ListBullet"/>
        <w:ind w:left="317" w:hanging="173"/>
      </w:pPr>
      <w:r>
        <w:t>Applicants under the age threshold or in safeguarding-sensitive activities require approved consent and protection arrangements.</w:t>
      </w:r>
    </w:p>
    <w:p>
      <w:pPr>
        <w:pStyle w:val="ListBullet"/>
        <w:ind w:left="317" w:hanging="173"/>
      </w:pPr>
      <w:r>
        <w:t>No applicant should be asked to disclose health, disability, family or other sensitive information beyond what is necessary for support, safety or lawful requirements.</w:t>
      </w:r>
    </w:p>
    <w:p>
      <w:pPr>
        <w:pStyle w:val="Heading1"/>
      </w:pPr>
      <w:r>
        <w:t>Deferral, withdrawal, transfer and recognition of prior learning</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23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Request</w:t>
            </w:r>
          </w:p>
        </w:tc>
        <w:tc>
          <w:tcPr>
            <w:tcW w:type="dxa" w:w="724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Rule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Deferral</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Available only where programme/cohort rules permit; normally one approved deferral; fees and curriculum validity confirmed.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Withdrawal</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Recorded promptly; access and financial consequences communicated; wellbeing/safeguarding concerns escalated appropriately.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Transfer</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Requires space, compatibility, eligibility and academic/financial approval; prior learning mapped.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Recognition of prior learning</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Authentic, current and sufficient evidence mapped to outcomes; assessed and approved; limits documented.</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Re-admission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Prior conduct, debt, academic standing, curriculum change and time elapsed considered under published rules.</w:t>
            </w:r>
          </w:p>
        </w:tc>
      </w:tr>
    </w:tbl>
    <w:p>
      <w:pPr>
        <w:spacing w:after="0"/>
      </w:pPr>
    </w:p>
    <w:p>
      <w:pPr>
        <w:pStyle w:val="Heading1"/>
      </w:pPr>
      <w:r>
        <w:t>Admissions review and complaints</w:t>
      </w:r>
    </w:p>
    <w:p>
      <w:r>
        <w:t>An applicant may request administrative review where criteria were misapplied, evidence was overlooked, bias/conflict affected the decision, or a material procedural error occurred. Review is not a guarantee of admission and normally does not replace documented academic judgement unless the process was defective.</w:t>
      </w:r>
    </w:p>
    <w:p>
      <w:pPr>
        <w:pStyle w:val="Heading1"/>
      </w:pPr>
      <w:r>
        <w:t>Admissions checklist and learner record</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70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Control</w:t>
            </w:r>
          </w:p>
        </w:tc>
        <w:tc>
          <w:tcPr>
            <w:tcW w:type="dxa" w:w="241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Complete / reference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Approved programme specification and current public information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Application and privacy consent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Identity and key evidence verification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Eligibility / selection rubric</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Decision and conditions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Offer acceptance and learner agreement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Financial/sponsorship clearance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LMS/registry account and unique learner ID</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Orientation, policies and support information</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 ]</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Reasonable adjustment / safeguarding plan where applicable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[Restricted reference]</w:t>
            </w:r>
          </w:p>
        </w:tc>
      </w:tr>
    </w:tbl>
    <w:p>
      <w:pPr>
        <w:spacing w:after="0"/>
      </w:pP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Academy</w:t>
        </w:r>
      </w:hyperlink>
    </w:p>
    <w:p>
      <w:pPr>
        <w:pStyle w:val="ListBullet"/>
      </w:pPr>
      <w:hyperlink r:id="rId13">
        <w:r>
          <w:rPr>
            <w:color w:val="0F8B8D"/>
            <w:u w:val="single"/>
          </w:rPr>
          <w:t>RIYAADA Online Learning Platform</w:t>
        </w:r>
      </w:hyperlink>
    </w:p>
    <w:p>
      <w:pPr>
        <w:pStyle w:val="ListBullet"/>
      </w:pPr>
      <w:r>
        <w:t>RIYAADA Quality Assurance, Digital Learning, Academic Integrity and Assessment policies.</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Admissions, Registry and Student Affairs</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Admissions, Registry and Student Affairs</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Admissions &amp; Eligibility</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RIY-ADM-POL-006</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academy.com" TargetMode="External"/><Relationship Id="rId13" Type="http://schemas.openxmlformats.org/officeDocument/2006/relationships/hyperlink" Target="https://www.riyaadaacademy.on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 RIYAADA Admissions Learner Eligibility Policy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