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Assessment, Certification &amp; Verification Procedures</w:t>
      </w:r>
    </w:p>
    <w:p>
      <w:pPr>
        <w:pStyle w:val="Subtitle"/>
        <w:jc w:val="center"/>
      </w:pPr>
      <w:r>
        <w:t>Fair assessment, secure awards and trusted digital verification</w:t>
      </w:r>
    </w:p>
    <w:p>
      <w:pPr>
        <w:jc w:val="center"/>
      </w:pPr>
      <w:r>
        <w:rPr>
          <w:b/>
          <w:color w:val="D4A72C"/>
          <w:sz w:val="24"/>
        </w:rPr>
        <w:t>LEARN. QUALIFY. LEAD.</w:t>
      </w:r>
    </w:p>
    <w:p>
      <w:pPr>
        <w:ind w:left="720" w:right="720"/>
        <w:jc w:val="center"/>
      </w:pPr>
      <w:r>
        <w:rPr>
          <w:i/>
          <w:color w:val="5B6777"/>
          <w:sz w:val="21"/>
        </w:rPr>
        <w:t>A controlled end-to-end procedure from assessment design and learner identity through result approval, credential issue, verification, replacement and revocation.</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RIY-ACA-ASM-004</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Assessment, Certification &amp; Verification Procedures</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RIY-ACA-ASM-004</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Purpose</w:t>
      </w:r>
    </w:p>
    <w:p>
      <w:r>
        <w:t>RIYAADA assessments must produce valid, reliable, fair and authentic evidence of achievement. Certificates and digital credentials must be issued only after approved results are recorded in the authoritative registry and must be verifiable through controlled institutional channels.</w:t>
      </w:r>
    </w:p>
    <w:tbl>
      <w:tblPr>
        <w:tblW w:type="auto" w:w="0"/>
        <w:jc w:val="center"/>
        <w:tblLayout w:type="fixed"/>
        <w:tblLook w:firstColumn="1" w:firstRow="1" w:lastColumn="0" w:lastRow="0" w:noHBand="0" w:noVBand="1" w:val="04A0"/>
      </w:tblPr>
      <w:tblGrid>
        <w:gridCol w:w="4917"/>
        <w:gridCol w:w="4917"/>
      </w:tblGrid>
      <w:tr>
        <w:tc>
          <w:tcPr>
            <w:tcW w:type="dxa" w:w="187"/>
            <w:shd w:fill="A23E48"/>
            <w:tcMar>
              <w:top w:w="90" w:type="dxa"/>
              <w:start w:w="100" w:type="dxa"/>
              <w:bottom w:w="90" w:type="dxa"/>
              <w:end w:w="100" w:type="dxa"/>
            </w:tcMar>
          </w:tcPr>
          <w:p/>
        </w:tc>
        <w:tc>
          <w:tcPr>
            <w:tcW w:type="dxa" w:w="9288"/>
            <w:shd w:fill="FCEDEF"/>
            <w:tcMar>
              <w:top w:w="90" w:type="dxa"/>
              <w:start w:w="100" w:type="dxa"/>
              <w:bottom w:w="90" w:type="dxa"/>
              <w:end w:w="100" w:type="dxa"/>
            </w:tcMar>
          </w:tcPr>
          <w:p>
            <w:pPr>
              <w:spacing w:after="40"/>
            </w:pPr>
            <w:r>
              <w:rPr>
                <w:b/>
                <w:color w:val="A23E48"/>
                <w:sz w:val="18"/>
              </w:rPr>
              <w:t>AWARD CONTROL</w:t>
            </w:r>
          </w:p>
          <w:p>
            <w:pPr>
              <w:spacing w:after="0"/>
            </w:pPr>
            <w:r>
              <w:rPr>
                <w:color w:val="17202A"/>
                <w:sz w:val="18"/>
              </w:rPr>
              <w:t>No certificate may be signed, printed, published or released from an informal list, faculty message, spreadsheet copy or unapproved result. The Registry is the authoritative source after result approval.</w:t>
            </w:r>
          </w:p>
        </w:tc>
      </w:tr>
    </w:tbl>
    <w:p>
      <w:pPr>
        <w:spacing w:after="0"/>
      </w:pPr>
    </w:p>
    <w:p>
      <w:pPr>
        <w:pStyle w:val="Heading1"/>
      </w:pPr>
      <w:r>
        <w:t>Assessment principles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17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Principle</w:t>
            </w:r>
          </w:p>
        </w:tc>
        <w:tc>
          <w:tcPr>
            <w:tcW w:type="dxa" w:w="774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Operational requirement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Validity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Tasks directly assess approved learning outcomes at the stated level.</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Reliability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Rubrics, assessor briefing and moderation support consistent judgement.</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Fairness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Clear instructions, reasonable adjustments and unbiased decision processes.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Authenticity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Identity, authorship and performance evidence are proportionate to risk.</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Transparency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Learners know task, criteria, weighting, deadlines, pass rules and appeal routes.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Security</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Assessment content, submissions, marks and credentials are access-controlled and retained.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Development</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Feedback is timely, specific and supports improved practice.</w:t>
            </w:r>
          </w:p>
        </w:tc>
      </w:tr>
    </w:tbl>
    <w:p>
      <w:pPr>
        <w:spacing w:after="0"/>
      </w:pPr>
    </w:p>
    <w:p>
      <w:pPr>
        <w:pStyle w:val="Heading1"/>
      </w:pPr>
      <w:r>
        <w:t>Assessment lifecycle</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Design</w:t>
            </w:r>
          </w:p>
          <w:p>
            <w:pPr>
              <w:spacing w:after="0"/>
              <w:jc w:val="center"/>
            </w:pPr>
            <w:r>
              <w:rPr>
                <w:color w:val="5B6777"/>
                <w:sz w:val="14"/>
              </w:rPr>
              <w:t>Map task to outcomes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Approve</w:t>
            </w:r>
          </w:p>
          <w:p>
            <w:pPr>
              <w:spacing w:after="0"/>
              <w:jc w:val="center"/>
            </w:pPr>
            <w:r>
              <w:rPr>
                <w:color w:val="5B6777"/>
                <w:sz w:val="14"/>
              </w:rPr>
              <w:t>Internal scrutiny</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Prepare</w:t>
            </w:r>
          </w:p>
          <w:p>
            <w:pPr>
              <w:spacing w:after="0"/>
              <w:jc w:val="center"/>
            </w:pPr>
            <w:r>
              <w:rPr>
                <w:color w:val="5B6777"/>
                <w:sz w:val="14"/>
              </w:rPr>
              <w:t>Brief learner/assessor</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Conduct</w:t>
            </w:r>
          </w:p>
          <w:p>
            <w:pPr>
              <w:spacing w:after="0"/>
              <w:jc w:val="center"/>
            </w:pPr>
            <w:r>
              <w:rPr>
                <w:color w:val="5B6777"/>
                <w:sz w:val="14"/>
              </w:rPr>
              <w:t>Secure and accessible</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Mark</w:t>
            </w:r>
          </w:p>
          <w:p>
            <w:pPr>
              <w:spacing w:after="0"/>
              <w:jc w:val="center"/>
            </w:pPr>
            <w:r>
              <w:rPr>
                <w:color w:val="5B6777"/>
                <w:sz w:val="14"/>
              </w:rPr>
              <w:t>Rubric and evidence</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Moderate</w:t>
            </w:r>
          </w:p>
          <w:p>
            <w:pPr>
              <w:spacing w:after="0"/>
              <w:jc w:val="center"/>
            </w:pPr>
            <w:r>
              <w:rPr>
                <w:color w:val="5B6777"/>
                <w:sz w:val="14"/>
              </w:rPr>
              <w:t>Quality check</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Approve</w:t>
            </w:r>
          </w:p>
          <w:p>
            <w:pPr>
              <w:spacing w:after="0"/>
              <w:jc w:val="center"/>
            </w:pPr>
            <w:r>
              <w:rPr>
                <w:color w:val="5B6777"/>
                <w:sz w:val="14"/>
              </w:rPr>
              <w:t>Results board</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Award</w:t>
            </w:r>
          </w:p>
          <w:p>
            <w:pPr>
              <w:spacing w:after="0"/>
              <w:jc w:val="center"/>
            </w:pPr>
            <w:r>
              <w:rPr>
                <w:color w:val="5B6777"/>
                <w:sz w:val="14"/>
              </w:rPr>
              <w:t>Registry and verification</w:t>
            </w:r>
          </w:p>
        </w:tc>
      </w:tr>
    </w:tbl>
    <w:p>
      <w:pPr>
        <w:pStyle w:val="Heading1"/>
      </w:pPr>
      <w:r>
        <w:t>Roles and separation of duties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8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Role</w:t>
            </w:r>
          </w:p>
        </w:tc>
        <w:tc>
          <w:tcPr>
            <w:tcW w:type="dxa" w:w="496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Key duties</w:t>
            </w:r>
          </w:p>
        </w:tc>
        <w:tc>
          <w:tcPr>
            <w:tcW w:type="dxa" w:w="270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Must not</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Module/programme lead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Design briefs, coordinate marking, monitor deadlines and propose results.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Unilaterally approve final awards.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Assessor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Judge evidence against rubric; provide feedback; declare conflicts.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 conflicted learner without mitigation.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Moderator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Sample tasks, marking and feedback; challenge inconsistency.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Rubber-stamp without evidence.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Assessment / Academic Board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Review cohort profile, exceptions, integrity, moderation and approve results.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 incomplete or unresolved high-risk cases.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Record approved results; produce transcript/credentials; maintain register.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Change grades without authorised decision.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Quality Assurance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Audit process, sampling, anomalies, appeals and action closure.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Replace academic judgement outside defined process.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Digital administrator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Configure secure submission, roles, timestamps, backups and verification interface.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Access or alter academic records without authority.</w:t>
            </w:r>
          </w:p>
        </w:tc>
      </w:tr>
    </w:tbl>
    <w:p>
      <w:pPr>
        <w:spacing w:after="0"/>
      </w:pPr>
    </w:p>
    <w:p>
      <w:pPr>
        <w:pStyle w:val="Heading1"/>
      </w:pPr>
      <w:r>
        <w:t>Assessment design and approval checklist</w:t>
      </w:r>
    </w:p>
    <w:p>
      <w:pPr>
        <w:pStyle w:val="ListBullet"/>
        <w:ind w:left="317" w:hanging="173"/>
      </w:pPr>
      <w:r>
        <w:t>Assessment title, mapped outcomes, weighting and submission mode are stated.</w:t>
      </w:r>
    </w:p>
    <w:p>
      <w:pPr>
        <w:pStyle w:val="ListBullet"/>
        <w:ind w:left="317" w:hanging="173"/>
      </w:pPr>
      <w:r>
        <w:t>Professional context and required evidence are clear and achievable.</w:t>
      </w:r>
    </w:p>
    <w:p>
      <w:pPr>
        <w:pStyle w:val="ListBullet"/>
        <w:ind w:left="317" w:hanging="173"/>
      </w:pPr>
      <w:r>
        <w:t>Workload and deadline are proportionate to learning hours.</w:t>
      </w:r>
    </w:p>
    <w:p>
      <w:pPr>
        <w:pStyle w:val="ListBullet"/>
        <w:ind w:left="317" w:hanging="173"/>
      </w:pPr>
      <w:r>
        <w:t>Rubric criteria distinguish levels of achievement and align with outcomes.</w:t>
      </w:r>
    </w:p>
    <w:p>
      <w:pPr>
        <w:pStyle w:val="ListBullet"/>
        <w:ind w:left="317" w:hanging="173"/>
      </w:pPr>
      <w:r>
        <w:t>Academic integrity, permitted collaboration and responsible AI rules are explicit.</w:t>
      </w:r>
    </w:p>
    <w:p>
      <w:pPr>
        <w:pStyle w:val="ListBullet"/>
        <w:ind w:left="317" w:hanging="173"/>
      </w:pPr>
      <w:r>
        <w:t>Accessibility and reasonable-adjustment options are considered without changing competence standards.</w:t>
      </w:r>
    </w:p>
    <w:p>
      <w:pPr>
        <w:pStyle w:val="ListBullet"/>
        <w:ind w:left="317" w:hanging="173"/>
      </w:pPr>
      <w:r>
        <w:t>Security classification, assessor, moderator and retention period are assigned.</w:t>
      </w:r>
    </w:p>
    <w:p>
      <w:pPr>
        <w:pStyle w:val="ListBullet"/>
        <w:ind w:left="317" w:hanging="173"/>
      </w:pPr>
      <w:r>
        <w:t>A model answer, benchmark evidence or assessor guidance is available where appropriate.</w:t>
      </w:r>
    </w:p>
    <w:p>
      <w:pPr>
        <w:pStyle w:val="Heading1"/>
      </w:pPr>
      <w:r>
        <w:t>Result rules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7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Rule</w:t>
            </w:r>
          </w:p>
        </w:tc>
        <w:tc>
          <w:tcPr>
            <w:tcW w:type="dxa" w:w="52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Default institutional position</w:t>
            </w:r>
          </w:p>
        </w:tc>
        <w:tc>
          <w:tcPr>
            <w:tcW w:type="dxa" w:w="249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Programme variation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Pass mark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50% or “competent” against all mandatory criteria.</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Must be approved in programme specification.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Overall pass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All mandatory assessments passed and conduct/attendance requirements satisfied.</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Compensation only if expressly approved.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Reassessment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One reassessment opportunity for eligible failed component.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Cap and timing stated in handbook.</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Late submission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Penalty or deferral according to published rule and approved extenuating circumstance.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No informal faculty waiver.</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Non-submission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Recorded as non-submission pending approved deferral, where applicable.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Escalate learner support concern.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Recognition of prior learning</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Evidence-mapped, verified and approved; no automatic exemption.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Limits stated by programme.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Distinction / merit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Only where thresholds and rules are approved and consistently applied.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Published before enrolment.</w:t>
            </w:r>
          </w:p>
        </w:tc>
      </w:tr>
    </w:tbl>
    <w:p>
      <w:pPr>
        <w:spacing w:after="0"/>
      </w:pPr>
    </w:p>
    <w:p>
      <w:pPr>
        <w:pStyle w:val="Heading1"/>
      </w:pPr>
      <w:r>
        <w:t>Moderation and result approval</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Stage</w:t>
            </w:r>
          </w:p>
        </w:tc>
        <w:tc>
          <w:tcPr>
            <w:tcW w:type="dxa" w:w="535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Minimum evidence</w:t>
            </w:r>
          </w:p>
        </w:tc>
        <w:tc>
          <w:tcPr>
            <w:tcW w:type="dxa" w:w="217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Decision record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Pre-assessment moderation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 outcomes, rubric, level, workload, accessibility and integrity controls.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 conditions before release.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Marking calibration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Common examples or benchmark discussion for multiple assessors.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Assessor briefing record.</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Post-marking moderation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Risk-based sample including high, borderline, fail, reassessment and anomalies.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Moderator report and agreed changes.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Cohort result review</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Distribution, outliers, assessment performance, integrity cases, unresolved complaints.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Signed Board minute / result sheet.</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Registry release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Approved final results, identity and completion checks.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Award issue register.</w:t>
            </w:r>
          </w:p>
        </w:tc>
      </w:tr>
    </w:tbl>
    <w:p>
      <w:pPr>
        <w:spacing w:after="0"/>
      </w:pPr>
    </w:p>
    <w:p>
      <w:pPr>
        <w:pStyle w:val="Heading1"/>
      </w:pPr>
      <w:r>
        <w:t>Appeals and reassessment</w:t>
      </w:r>
    </w:p>
    <w:p>
      <w:r>
        <w:t>An appeal challenges a procedural irregularity, bias, material error or failure to apply approved rules; it is not a request to re-mark solely because a learner disagrees with academic judgement. Appeals should normally be lodged within 10 working days of result notification using the approved form. The reviewer must be independent of the original decision where practicable.</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Submit</w:t>
            </w:r>
          </w:p>
          <w:p>
            <w:pPr>
              <w:spacing w:after="0"/>
              <w:jc w:val="center"/>
            </w:pPr>
            <w:r>
              <w:rPr>
                <w:color w:val="5B6777"/>
                <w:sz w:val="14"/>
              </w:rPr>
              <w:t>Grounds and evidence</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Screen</w:t>
            </w:r>
          </w:p>
          <w:p>
            <w:pPr>
              <w:spacing w:after="0"/>
              <w:jc w:val="center"/>
            </w:pPr>
            <w:r>
              <w:rPr>
                <w:color w:val="5B6777"/>
                <w:sz w:val="14"/>
              </w:rPr>
              <w:t>Eligibility and timeliness</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Review</w:t>
            </w:r>
          </w:p>
          <w:p>
            <w:pPr>
              <w:spacing w:after="0"/>
              <w:jc w:val="center"/>
            </w:pPr>
            <w:r>
              <w:rPr>
                <w:color w:val="5B6777"/>
                <w:sz w:val="14"/>
              </w:rPr>
              <w:t>Independent evidence review</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Decision</w:t>
            </w:r>
          </w:p>
          <w:p>
            <w:pPr>
              <w:spacing w:after="0"/>
              <w:jc w:val="center"/>
            </w:pPr>
            <w:r>
              <w:rPr>
                <w:color w:val="5B6777"/>
                <w:sz w:val="14"/>
              </w:rPr>
              <w:t>Uphold / vary / dismiss</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Record</w:t>
            </w:r>
          </w:p>
          <w:p>
            <w:pPr>
              <w:spacing w:after="0"/>
              <w:jc w:val="center"/>
            </w:pPr>
            <w:r>
              <w:rPr>
                <w:color w:val="5B6777"/>
                <w:sz w:val="14"/>
              </w:rPr>
              <w:t>Registry and communication</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Learn</w:t>
            </w:r>
          </w:p>
          <w:p>
            <w:pPr>
              <w:spacing w:after="0"/>
              <w:jc w:val="center"/>
            </w:pPr>
            <w:r>
              <w:rPr>
                <w:color w:val="5B6777"/>
                <w:sz w:val="14"/>
              </w:rPr>
              <w:t>Corrective action if needed</w:t>
            </w:r>
          </w:p>
        </w:tc>
      </w:tr>
    </w:tbl>
    <w:p>
      <w:pPr>
        <w:pStyle w:val="Heading1"/>
      </w:pPr>
      <w:r>
        <w:t>Certificate and credential specification</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Required field</w:t>
            </w:r>
          </w:p>
        </w:tc>
        <w:tc>
          <w:tcPr>
            <w:tcW w:type="dxa" w:w="7099"/>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Control</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identity</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Approved RIYAADA name, brand and authorised signatories.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Recipient</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Verified legal/preferred name according to registry rule.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Award and programme</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Exact approved wording and programme code.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Achievement date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 result was formally approved or award conferred.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Credential ID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Unique, non-reused and linked to authoritative record.</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Verification route</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Secure URL and/or QR code; no sensitive data exposed.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Security features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Controlled serial, design version, print controls, signatures and optional digital signature.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Status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Valid, replaced, corrected, suspended or revoked, with audit trail.</w:t>
            </w:r>
          </w:p>
        </w:tc>
      </w:tr>
    </w:tbl>
    <w:p>
      <w:pPr>
        <w:spacing w:after="0"/>
      </w:pPr>
    </w:p>
    <w:p>
      <w:pPr>
        <w:pStyle w:val="Heading2"/>
      </w:pPr>
      <w:r>
        <w:t>Credential numbering convention</w:t>
      </w:r>
    </w:p>
    <w:tbl>
      <w:tblPr>
        <w:tblW w:type="auto" w:w="0"/>
        <w:jc w:val="center"/>
        <w:tblLayout w:type="fixed"/>
        <w:tblLook w:firstColumn="1" w:firstRow="1" w:lastColumn="0" w:lastRow="0" w:noHBand="0" w:noVBand="1" w:val="04A0"/>
      </w:tblPr>
      <w:tblGrid>
        <w:gridCol w:w="4917"/>
        <w:gridCol w:w="4917"/>
      </w:tblGrid>
      <w:tr>
        <w:tc>
          <w:tcPr>
            <w:tcW w:type="dxa" w:w="187"/>
            <w:shd w:fill="0B1F3A"/>
            <w:tcMar>
              <w:top w:w="90" w:type="dxa"/>
              <w:start w:w="100" w:type="dxa"/>
              <w:bottom w:w="90" w:type="dxa"/>
              <w:end w:w="100" w:type="dxa"/>
            </w:tcMar>
          </w:tcPr>
          <w:p/>
        </w:tc>
        <w:tc>
          <w:tcPr>
            <w:tcW w:type="dxa" w:w="9288"/>
            <w:shd w:fill="EAF0F6"/>
            <w:tcMar>
              <w:top w:w="90" w:type="dxa"/>
              <w:start w:w="100" w:type="dxa"/>
              <w:bottom w:w="90" w:type="dxa"/>
              <w:end w:w="100" w:type="dxa"/>
            </w:tcMar>
          </w:tcPr>
          <w:p>
            <w:pPr>
              <w:spacing w:after="40"/>
            </w:pPr>
            <w:r>
              <w:rPr>
                <w:b/>
                <w:color w:val="0B1F3A"/>
                <w:sz w:val="18"/>
              </w:rPr>
              <w:t>FORMAT</w:t>
            </w:r>
          </w:p>
          <w:p>
            <w:pPr>
              <w:spacing w:after="0"/>
            </w:pPr>
            <w:r>
              <w:rPr>
                <w:color w:val="17202A"/>
                <w:sz w:val="18"/>
              </w:rPr>
              <w:t>RIY-[AWARD]-[PROGRAMME]-[YEAR]-[SEQUENCE] — example: RIY-ACP-HLMG-2026-0042. The registry generates the final ID; staff must not invent identifiers.</w:t>
            </w:r>
          </w:p>
        </w:tc>
      </w:tr>
    </w:tbl>
    <w:p>
      <w:pPr>
        <w:spacing w:after="0"/>
      </w:pPr>
    </w:p>
    <w:p>
      <w:pPr>
        <w:pStyle w:val="Heading1"/>
      </w:pPr>
      <w:r>
        <w:t>Verification process</w:t>
      </w:r>
    </w:p>
    <w:tbl>
      <w:tblPr>
        <w:tblW w:type="auto" w:w="0"/>
        <w:jc w:val="center"/>
        <w:tblLayout w:type="fixed"/>
        <w:tblLook w:firstColumn="1" w:firstRow="1" w:lastColumn="0" w:lastRow="0" w:noHBand="0" w:noVBand="1" w:val="04A0"/>
      </w:tblPr>
      <w:tblGrid>
        <w:gridCol w:w="1639"/>
        <w:gridCol w:w="1639"/>
        <w:gridCol w:w="1639"/>
        <w:gridCol w:w="1639"/>
        <w:gridCol w:w="1639"/>
        <w:gridCol w:w="1639"/>
      </w:tblGrid>
      <w:tr>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Query</w:t>
            </w:r>
          </w:p>
          <w:p>
            <w:pPr>
              <w:spacing w:after="0"/>
              <w:jc w:val="center"/>
            </w:pPr>
            <w:r>
              <w:rPr>
                <w:color w:val="5B6777"/>
                <w:sz w:val="14"/>
              </w:rPr>
              <w:t>Credential ID / QR</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Match</w:t>
            </w:r>
          </w:p>
          <w:p>
            <w:pPr>
              <w:spacing w:after="0"/>
              <w:jc w:val="center"/>
            </w:pPr>
            <w:r>
              <w:rPr>
                <w:color w:val="5B6777"/>
                <w:sz w:val="14"/>
              </w:rPr>
              <w:t>Authoritative registry</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Display</w:t>
            </w:r>
          </w:p>
          <w:p>
            <w:pPr>
              <w:spacing w:after="0"/>
              <w:jc w:val="center"/>
            </w:pPr>
            <w:r>
              <w:rPr>
                <w:color w:val="5B6777"/>
                <w:sz w:val="14"/>
              </w:rPr>
              <w:t>Minimum verification fields</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Protect</w:t>
            </w:r>
          </w:p>
          <w:p>
            <w:pPr>
              <w:spacing w:after="0"/>
              <w:jc w:val="center"/>
            </w:pPr>
            <w:r>
              <w:rPr>
                <w:color w:val="5B6777"/>
                <w:sz w:val="14"/>
              </w:rPr>
              <w:t>No excess personal data</w:t>
            </w:r>
          </w:p>
        </w:tc>
        <w:tc>
          <w:tcPr>
            <w:tcW w:type="dxa" w:w="1579"/>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Log</w:t>
            </w:r>
          </w:p>
          <w:p>
            <w:pPr>
              <w:spacing w:after="0"/>
              <w:jc w:val="center"/>
            </w:pPr>
            <w:r>
              <w:rPr>
                <w:color w:val="5B6777"/>
                <w:sz w:val="14"/>
              </w:rPr>
              <w:t>Verification event / anomaly</w:t>
            </w:r>
          </w:p>
        </w:tc>
        <w:tc>
          <w:tcPr>
            <w:tcW w:type="dxa" w:w="1579"/>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Escalate</w:t>
            </w:r>
          </w:p>
          <w:p>
            <w:pPr>
              <w:spacing w:after="0"/>
              <w:jc w:val="center"/>
            </w:pPr>
            <w:r>
              <w:rPr>
                <w:color w:val="5B6777"/>
                <w:sz w:val="14"/>
              </w:rPr>
              <w:t>Fraud, mismatch or revocation</w:t>
            </w:r>
          </w:p>
        </w:tc>
      </w:tr>
    </w:tbl>
    <w:tbl>
      <w:tblPr>
        <w:tblW w:type="auto" w:w="0"/>
        <w:jc w:val="center"/>
        <w:tblLayout w:type="fixed"/>
        <w:tblLook w:firstColumn="1" w:firstRow="1" w:lastColumn="0" w:lastRow="0" w:noHBand="0" w:noVBand="1" w:val="04A0"/>
      </w:tblPr>
      <w:tblGrid>
        <w:gridCol w:w="4917"/>
        <w:gridCol w:w="4917"/>
      </w:tblGrid>
      <w:tr>
        <w:trPr>
          <w:tblHeader w:val="true"/>
        </w:trPr>
        <w:tc>
          <w:tcPr>
            <w:tcW w:type="dxa" w:w="216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Verification response</w:t>
            </w:r>
          </w:p>
        </w:tc>
        <w:tc>
          <w:tcPr>
            <w:tcW w:type="dxa" w:w="731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Display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Valid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Recipient name (privacy-controlled), award, programme, issue date, credential ID and valid status.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Replaced / corrected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Current credential reference and status of previous credential, without exposing unnecessary history.</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Revoked</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Credential is not valid; reason handled through authorised confidential process.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Not found</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No match; advise requester to check details or contact Registry. Do not confirm allegations.</w:t>
            </w:r>
          </w:p>
        </w:tc>
      </w:tr>
    </w:tbl>
    <w:p>
      <w:pPr>
        <w:spacing w:after="0"/>
      </w:pPr>
    </w:p>
    <w:p>
      <w:pPr>
        <w:pStyle w:val="Heading1"/>
      </w:pPr>
      <w:r>
        <w:t>Replacement, correction and revocation</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Case</w:t>
            </w:r>
          </w:p>
        </w:tc>
        <w:tc>
          <w:tcPr>
            <w:tcW w:type="dxa" w:w="41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Authorisation</w:t>
            </w:r>
          </w:p>
        </w:tc>
        <w:tc>
          <w:tcPr>
            <w:tcW w:type="dxa" w:w="328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Record action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Administrative error</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manager after evidence and approval.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Correct record; reissue; mark original superseded.</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Name change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Verified legal/approved evidence and published rule.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Link old/new record with restricted audit history.</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Loss or damage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Identity check and replacement request; fee if approved.</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Issue replacement carrying same achievement and replacement notation.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misconduct discovered later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Academic Council / authorised panel after due process.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Suspend/revoke; update verification status; notify affected parties as lawful.</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Fraudulent certificate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Registry and executive escalation; legal/security action as appropriate.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Preserve evidence; flag invalid; issue formal verification response.</w:t>
            </w:r>
          </w:p>
        </w:tc>
      </w:tr>
    </w:tbl>
    <w:p>
      <w:pPr>
        <w:spacing w:after="0"/>
      </w:pPr>
    </w:p>
    <w:p>
      <w:pPr>
        <w:pStyle w:val="Heading1"/>
      </w:pPr>
      <w:r>
        <w:t>Records and retention</w:t>
      </w:r>
    </w:p>
    <w:p>
      <w:pPr>
        <w:pStyle w:val="ListBullet"/>
        <w:ind w:left="317" w:hanging="173"/>
      </w:pPr>
      <w:r>
        <w:t>Permanent: final approved award register, credential ID, award, programme, result approval reference, issue/replacement/revocation history.</w:t>
      </w:r>
    </w:p>
    <w:p>
      <w:pPr>
        <w:pStyle w:val="ListBullet"/>
        <w:ind w:left="317" w:hanging="173"/>
      </w:pPr>
      <w:r>
        <w:t>Long-term according to schedule: transcripts, final marks, moderation and Board records.</w:t>
      </w:r>
    </w:p>
    <w:p>
      <w:pPr>
        <w:pStyle w:val="ListBullet"/>
        <w:ind w:left="317" w:hanging="173"/>
      </w:pPr>
      <w:r>
        <w:t>Defined operational period: submissions, scripts, feedback, attendance, identity evidence and appeal files.</w:t>
      </w:r>
    </w:p>
    <w:p>
      <w:pPr>
        <w:pStyle w:val="ListBullet"/>
        <w:ind w:left="317" w:hanging="173"/>
      </w:pPr>
      <w:r>
        <w:t>Access is role-based, logged and reviewed. Backups and recovery tests are documented.</w:t>
      </w:r>
    </w:p>
    <w:p>
      <w:pPr>
        <w:pStyle w:val="ListBullet"/>
        <w:ind w:left="317" w:hanging="173"/>
      </w:pPr>
      <w:r>
        <w:t>Retention and disposal comply with applicable law, contractual obligations and approved RIYAADA schedules.</w:t>
      </w: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Academy online platform</w:t>
        </w:r>
      </w:hyperlink>
    </w:p>
    <w:p>
      <w:pPr>
        <w:pStyle w:val="ListBullet"/>
      </w:pPr>
      <w:r>
        <w:t>RIYAADA Quality Assurance Policy and Framework.</w:t>
      </w:r>
    </w:p>
    <w:p>
      <w:pPr>
        <w:pStyle w:val="ListBullet"/>
      </w:pPr>
      <w:r>
        <w:t>RIYAADA Academic Integrity, Admissions and Digital Learning policies.</w:t>
      </w:r>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Registry / Certification and Quality Assurance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Registry / Certification and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Assessment &amp; Awards</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RIY-ACA-ASM-004</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academy.onl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 RIYAADA Assessment Certification Verification Procedures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