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drawing>
          <wp:inline xmlns:a="http://schemas.openxmlformats.org/drawingml/2006/main" xmlns:pic="http://schemas.openxmlformats.org/drawingml/2006/picture">
            <wp:extent cx="6236208" cy="2157984"/>
            <wp:docPr id="1" name="Picture 1" descr="Image: image2.png"/>
            <wp:cNvGraphicFramePr>
              <a:graphicFrameLocks noChangeAspect="1"/>
            </wp:cNvGraphicFramePr>
            <a:graphic>
              <a:graphicData uri="http://schemas.openxmlformats.org/drawingml/2006/picture">
                <pic:pic>
                  <pic:nvPicPr>
                    <pic:cNvPr id="0" name="cover_banner.png"/>
                    <pic:cNvPicPr/>
                  </pic:nvPicPr>
                  <pic:blipFill>
                    <a:blip r:embed="rId11"/>
                    <a:stretch>
                      <a:fillRect/>
                    </a:stretch>
                  </pic:blipFill>
                  <pic:spPr>
                    <a:xfrm>
                      <a:off x="0" y="0"/>
                      <a:ext cx="6236208" cy="2157984"/>
                    </a:xfrm>
                    <a:prstGeom prst="rect"/>
                  </pic:spPr>
                </pic:pic>
              </a:graphicData>
            </a:graphic>
          </wp:inline>
        </w:drawing>
      </w:r>
    </w:p>
    <w:p>
      <w:pPr>
        <w:pStyle w:val="RIYAADAEyebrow"/>
        <w:jc w:val="center"/>
      </w:pPr>
      <w:r>
        <w:t>RIYAADA INSTITUTIONAL DOCUMENT SERIES</w:t>
      </w:r>
    </w:p>
    <w:p>
      <w:pPr>
        <w:pStyle w:val="Title"/>
        <w:jc w:val="center"/>
      </w:pPr>
      <w:r>
        <w:t>Quality Assurance Policy &amp; Institutional Framework</w:t>
      </w:r>
    </w:p>
    <w:p>
      <w:pPr>
        <w:pStyle w:val="Subtitle"/>
        <w:jc w:val="center"/>
      </w:pPr>
      <w:r>
        <w:t>Governance, standards, evidence and continuous improvement</w:t>
      </w:r>
    </w:p>
    <w:p>
      <w:pPr>
        <w:jc w:val="center"/>
      </w:pPr>
      <w:r>
        <w:rPr>
          <w:b/>
          <w:color w:val="D4A72C"/>
          <w:sz w:val="24"/>
        </w:rPr>
        <w:t>LEARN. QUALIFY. LEAD.</w:t>
      </w:r>
    </w:p>
    <w:p>
      <w:pPr>
        <w:ind w:left="720" w:right="720"/>
        <w:jc w:val="center"/>
      </w:pPr>
      <w:r>
        <w:rPr>
          <w:i/>
          <w:color w:val="5B6777"/>
          <w:sz w:val="21"/>
        </w:rPr>
        <w:t>The institution-wide system for assuring academic quality, learner protection, service reliability, research integrity and improvement.</w:t>
      </w:r>
    </w:p>
    <w:p/>
    <w:tbl>
      <w:tblPr>
        <w:tblW w:type="auto" w:w="0"/>
        <w:jc w:val="center"/>
        <w:tblLayout w:type="fixed"/>
        <w:tblLook w:firstColumn="1" w:firstRow="1" w:lastColumn="0" w:lastRow="0" w:noHBand="0" w:noVBand="1" w:val="04A0"/>
      </w:tblPr>
      <w:tblGrid>
        <w:gridCol w:w="4917"/>
        <w:gridCol w:w="4917"/>
      </w:tblGrid>
      <w:tr>
        <w:tc>
          <w:tcPr>
            <w:tcW w:type="dxa" w:w="3024"/>
            <w:shd w:fill="0B1F3A"/>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b/>
                <w:color w:val="FFFFFF"/>
                <w:sz w:val="18"/>
              </w:rPr>
              <w:t>Document code</w:t>
            </w:r>
          </w:p>
        </w:tc>
        <w:tc>
          <w:tcPr>
            <w:tcW w:type="dxa" w:w="5544"/>
            <w:shd w:fill="EFF7F8"/>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color w:val="17202A"/>
                <w:sz w:val="18"/>
              </w:rPr>
              <w:t>RIY-QA-POL-003</w:t>
            </w:r>
          </w:p>
        </w:tc>
      </w:tr>
      <w:tr>
        <w:tc>
          <w:tcPr>
            <w:tcW w:type="dxa" w:w="3024"/>
            <w:shd w:fill="F5F7FA"/>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b/>
                <w:color w:val="0B1F3A"/>
                <w:sz w:val="18"/>
              </w:rPr>
              <w:t>Version / issue</w:t>
            </w:r>
          </w:p>
        </w:tc>
        <w:tc>
          <w:tcPr>
            <w:tcW w:type="dxa" w:w="5544"/>
            <w:shd w:fill="FFFFFF"/>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color w:val="17202A"/>
                <w:sz w:val="18"/>
              </w:rPr>
              <w:t>Version 1.0 | July 2026</w:t>
            </w:r>
          </w:p>
        </w:tc>
      </w:tr>
      <w:tr>
        <w:tc>
          <w:tcPr>
            <w:tcW w:type="dxa" w:w="3024"/>
            <w:shd w:fill="F5F7FA"/>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b/>
                <w:color w:val="0B1F3A"/>
                <w:sz w:val="18"/>
              </w:rPr>
              <w:t>Status</w:t>
            </w:r>
          </w:p>
        </w:tc>
        <w:tc>
          <w:tcPr>
            <w:tcW w:type="dxa" w:w="5544"/>
            <w:shd w:fill="EFF7F8"/>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color w:val="17202A"/>
                <w:sz w:val="18"/>
              </w:rPr>
              <w:t>Controlled Draft for Institutional Approval</w:t>
            </w:r>
          </w:p>
        </w:tc>
      </w:tr>
      <w:tr>
        <w:tc>
          <w:tcPr>
            <w:tcW w:type="dxa" w:w="3024"/>
            <w:shd w:fill="F5F7FA"/>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b/>
                <w:color w:val="0B1F3A"/>
                <w:sz w:val="18"/>
              </w:rPr>
              <w:t>Owner</w:t>
            </w:r>
          </w:p>
        </w:tc>
        <w:tc>
          <w:tcPr>
            <w:tcW w:type="dxa" w:w="5544"/>
            <w:shd w:fill="FFFFFF"/>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color w:val="17202A"/>
                <w:sz w:val="18"/>
              </w:rPr>
              <w:t>Office of the Dean / Quality Assurance &amp; Standards Unit</w:t>
            </w:r>
          </w:p>
        </w:tc>
      </w:tr>
    </w:tbl>
    <w:p>
      <w:pPr>
        <w:spacing w:before="320"/>
        <w:jc w:val="center"/>
      </w:pPr>
      <w:r>
        <w:rPr>
          <w:b/>
          <w:color w:val="0B1F3A"/>
          <w:sz w:val="22"/>
        </w:rPr>
        <w:t>RIYAADA Institute for Leadership &amp; Governance</w:t>
        <w:br/>
      </w:r>
      <w:r>
        <w:rPr>
          <w:color w:val="5B6777"/>
          <w:sz w:val="17"/>
        </w:rPr>
        <w:t>Abdiaziz District, Via-Bandar Qaasim, Mogadishu, Somalia</w:t>
        <w:br/>
        <w:t>info@riyaadaacademy.com  |  +252 617 596 220</w:t>
      </w:r>
    </w:p>
    <w:p>
      <w:r>
        <w:br w:type="page"/>
      </w:r>
    </w:p>
    <w:p>
      <w:pPr>
        <w:pStyle w:val="Heading1"/>
      </w:pPr>
      <w:r>
        <w:t>Document control</w:t>
      </w:r>
    </w:p>
    <w:tbl>
      <w:tblPr>
        <w:tblW w:type="auto" w:w="0"/>
        <w:jc w:val="center"/>
        <w:tblLayout w:type="fixed"/>
        <w:tblLook w:firstColumn="1" w:firstRow="1" w:lastColumn="0" w:lastRow="0" w:noHBand="0" w:noVBand="1" w:val="04A0"/>
      </w:tblPr>
      <w:tblGrid>
        <w:gridCol w:w="4917"/>
        <w:gridCol w:w="4917"/>
      </w:tblGrid>
      <w:tr>
        <w:tc>
          <w:tcPr>
            <w:tcW w:type="dxa" w:w="187"/>
            <w:shd w:fill="D4A72C"/>
            <w:tcMar>
              <w:top w:w="90" w:type="dxa"/>
              <w:start w:w="100" w:type="dxa"/>
              <w:bottom w:w="90" w:type="dxa"/>
              <w:end w:w="100" w:type="dxa"/>
            </w:tcMar>
          </w:tcPr>
          <w:p/>
        </w:tc>
        <w:tc>
          <w:tcPr>
            <w:tcW w:type="dxa" w:w="9288"/>
            <w:shd w:fill="FFF8E5"/>
            <w:tcMar>
              <w:top w:w="90" w:type="dxa"/>
              <w:start w:w="100" w:type="dxa"/>
              <w:bottom w:w="90" w:type="dxa"/>
              <w:end w:w="100" w:type="dxa"/>
            </w:tcMar>
          </w:tcPr>
          <w:p>
            <w:pPr>
              <w:spacing w:after="40"/>
            </w:pPr>
            <w:r>
              <w:rPr>
                <w:b/>
                <w:color w:val="D4A72C"/>
                <w:sz w:val="18"/>
              </w:rPr>
              <w:t>CONTROLLED DOCUMENT</w:t>
            </w:r>
          </w:p>
          <w:p>
            <w:pPr>
              <w:spacing w:after="0"/>
            </w:pPr>
            <w:r>
              <w:rPr>
                <w:color w:val="17202A"/>
                <w:sz w:val="18"/>
              </w:rPr>
              <w:t>The editable fields in this template must be completed before approval. Printed copies are uncontrolled unless stamped and dated by the Quality Assurance &amp; Standards Unit.</w:t>
            </w:r>
          </w:p>
        </w:tc>
      </w:tr>
    </w:tbl>
    <w:p>
      <w:pPr>
        <w:spacing w:after="0"/>
      </w:pPr>
    </w:p>
    <w:tbl>
      <w:tblPr>
        <w:tblW w:type="auto" w:w="0"/>
        <w:jc w:val="center"/>
        <w:tblLayout w:type="fixed"/>
        <w:tblLook w:firstColumn="1" w:firstRow="1" w:lastColumn="0" w:lastRow="0" w:noHBand="0" w:noVBand="1" w:val="04A0"/>
      </w:tblPr>
      <w:tblGrid>
        <w:gridCol w:w="4917"/>
        <w:gridCol w:w="4917"/>
      </w:tblGrid>
      <w:tr>
        <w:tc>
          <w:tcPr>
            <w:tcW w:type="dxa" w:w="2520"/>
            <w:shd w:fill="0B1F3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FFFFFF"/>
                <w:sz w:val="17"/>
              </w:rPr>
              <w:t>Document title</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Quality Assurance Policy &amp; Institutional Framework</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Document code</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RIY-QA-POL-003</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Policy owner</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Office of the Dean / designated directorate</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Approval authority</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RIYAADA Governing Board / delegated Academic Council</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Version</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1.0</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Issue date</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July 2026</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Effective date</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[DD Month YYYY]</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Review cycle</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Annual, or earlier when law, standards, platform architecture or institutional needs change</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Classification</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Public institutional document / internal controlled annexes where indicated</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Supersedes</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New document</w:t>
            </w:r>
          </w:p>
        </w:tc>
      </w:tr>
    </w:tbl>
    <w:p>
      <w:pPr>
        <w:pStyle w:val="Heading2"/>
      </w:pPr>
      <w:r>
        <w:t>Approval and sign-off</w:t>
      </w:r>
    </w:p>
    <w:tbl>
      <w:tblPr>
        <w:tblW w:type="auto" w:w="0"/>
        <w:jc w:val="center"/>
        <w:tblLayout w:type="fixed"/>
        <w:tblLook w:firstColumn="1" w:firstRow="1" w:lastColumn="0" w:lastRow="0" w:noHBand="0" w:noVBand="1" w:val="04A0"/>
      </w:tblPr>
      <w:tblGrid>
        <w:gridCol w:w="2459"/>
        <w:gridCol w:w="2459"/>
        <w:gridCol w:w="2459"/>
        <w:gridCol w:w="2459"/>
      </w:tblGrid>
      <w:tr>
        <w:trPr>
          <w:tblHeader w:val="true"/>
        </w:trPr>
        <w:tc>
          <w:tcPr>
            <w:tcW w:type="dxa" w:w="237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Role</w:t>
            </w:r>
          </w:p>
        </w:tc>
        <w:tc>
          <w:tcPr>
            <w:tcW w:type="dxa" w:w="324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Name</w:t>
            </w:r>
          </w:p>
        </w:tc>
        <w:tc>
          <w:tcPr>
            <w:tcW w:type="dxa" w:w="201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Signature</w:t>
            </w:r>
          </w:p>
        </w:tc>
        <w:tc>
          <w:tcPr>
            <w:tcW w:type="dxa" w:w="187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Date</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Prepared by</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[Name / title]</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Quality review</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Director, Student Affairs, Certification &amp; Quality Assurance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Academic endorsement</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Dean of the Academy</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Institutional approval</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Founder &amp; Chairman / Governing Board</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r>
    </w:tbl>
    <w:p>
      <w:pPr>
        <w:spacing w:after="0"/>
      </w:pPr>
    </w:p>
    <w:p>
      <w:pPr>
        <w:pStyle w:val="Heading2"/>
      </w:pPr>
      <w:r>
        <w:t>Revision history</w:t>
      </w:r>
    </w:p>
    <w:tbl>
      <w:tblPr>
        <w:tblW w:type="auto" w:w="0"/>
        <w:jc w:val="center"/>
        <w:tblLayout w:type="fixed"/>
        <w:tblLook w:firstColumn="1" w:firstRow="1" w:lastColumn="0" w:lastRow="0" w:noHBand="0" w:noVBand="1" w:val="04A0"/>
      </w:tblPr>
      <w:tblGrid>
        <w:gridCol w:w="2459"/>
        <w:gridCol w:w="2459"/>
        <w:gridCol w:w="2459"/>
        <w:gridCol w:w="2459"/>
      </w:tblGrid>
      <w:tr>
        <w:trPr>
          <w:tblHeader w:val="true"/>
        </w:trPr>
        <w:tc>
          <w:tcPr>
            <w:tcW w:type="dxa" w:w="115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Version</w:t>
            </w:r>
          </w:p>
        </w:tc>
        <w:tc>
          <w:tcPr>
            <w:tcW w:type="dxa" w:w="1584"/>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Date</w:t>
            </w:r>
          </w:p>
        </w:tc>
        <w:tc>
          <w:tcPr>
            <w:tcW w:type="dxa" w:w="511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Summary of change</w:t>
            </w:r>
          </w:p>
        </w:tc>
        <w:tc>
          <w:tcPr>
            <w:tcW w:type="dxa" w:w="1944"/>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Approved by</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1.0</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July 2026</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First controlled institutional edition</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[Pending]</w:t>
            </w:r>
          </w:p>
        </w:tc>
      </w:tr>
    </w:tbl>
    <w:p>
      <w:pPr>
        <w:spacing w:after="0"/>
      </w:pPr>
    </w:p>
    <w:p>
      <w:r>
        <w:br w:type="page"/>
      </w:r>
    </w:p>
    <w:p>
      <w:pPr>
        <w:pStyle w:val="Heading1"/>
      </w:pPr>
      <w:r>
        <w:t>Policy statement</w:t>
      </w:r>
    </w:p>
    <w:p>
      <w:r>
        <w:t>RIYAADA is committed to an evidence-based culture in which quality is designed into programmes and services, monitored during delivery, independently reviewed, transparently reported and improved through accountable action. Quality assurance is a shared responsibility, with defined oversight by the Governing Board, Academic Council, Dean, Quality Assurance &amp; Standards Unit, programme teams, faculty, registry, digital services, learners and partners.</w:t>
      </w:r>
    </w:p>
    <w:tbl>
      <w:tblPr>
        <w:tblW w:type="auto" w:w="0"/>
        <w:jc w:val="center"/>
        <w:tblLayout w:type="fixed"/>
        <w:tblLook w:firstColumn="1" w:firstRow="1" w:lastColumn="0" w:lastRow="0" w:noHBand="0" w:noVBand="1" w:val="04A0"/>
      </w:tblPr>
      <w:tblGrid>
        <w:gridCol w:w="4917"/>
        <w:gridCol w:w="4917"/>
      </w:tblGrid>
      <w:tr>
        <w:tc>
          <w:tcPr>
            <w:tcW w:type="dxa" w:w="187"/>
            <w:shd w:fill="A23E48"/>
            <w:tcMar>
              <w:top w:w="90" w:type="dxa"/>
              <w:start w:w="100" w:type="dxa"/>
              <w:bottom w:w="90" w:type="dxa"/>
              <w:end w:w="100" w:type="dxa"/>
            </w:tcMar>
          </w:tcPr>
          <w:p/>
        </w:tc>
        <w:tc>
          <w:tcPr>
            <w:tcW w:type="dxa" w:w="9288"/>
            <w:shd w:fill="FCEDEF"/>
            <w:tcMar>
              <w:top w:w="90" w:type="dxa"/>
              <w:start w:w="100" w:type="dxa"/>
              <w:bottom w:w="90" w:type="dxa"/>
              <w:end w:w="100" w:type="dxa"/>
            </w:tcMar>
          </w:tcPr>
          <w:p>
            <w:pPr>
              <w:spacing w:after="40"/>
            </w:pPr>
            <w:r>
              <w:rPr>
                <w:b/>
                <w:color w:val="A23E48"/>
                <w:sz w:val="18"/>
              </w:rPr>
              <w:t>NO UNVERIFIED CLAIMS</w:t>
            </w:r>
          </w:p>
          <w:p>
            <w:pPr>
              <w:spacing w:after="0"/>
            </w:pPr>
            <w:r>
              <w:rPr>
                <w:color w:val="17202A"/>
                <w:sz w:val="18"/>
              </w:rPr>
              <w:t>RIYAADA will distinguish institutional approval, external recognition, formal accreditation, standards alignment and certification. No public statement may imply accreditation or ISO certification without current documentary evidence and authorised wording.</w:t>
            </w:r>
          </w:p>
        </w:tc>
      </w:tr>
    </w:tbl>
    <w:p>
      <w:pPr>
        <w:spacing w:after="0"/>
      </w:pPr>
    </w:p>
    <w:p>
      <w:pPr>
        <w:pStyle w:val="Heading2"/>
      </w:pPr>
      <w:r>
        <w:t>Scope</w:t>
      </w:r>
    </w:p>
    <w:p>
      <w:pPr>
        <w:pStyle w:val="ListBullet"/>
        <w:ind w:left="317" w:hanging="173"/>
      </w:pPr>
      <w:r>
        <w:t>Academic and professional programmes, short courses and micro-credentials.</w:t>
      </w:r>
    </w:p>
    <w:p>
      <w:pPr>
        <w:pStyle w:val="ListBullet"/>
        <w:ind w:left="317" w:hanging="173"/>
      </w:pPr>
      <w:r>
        <w:t>In-person, online, blended, advisory and institutionally commissioned learning.</w:t>
      </w:r>
    </w:p>
    <w:p>
      <w:pPr>
        <w:pStyle w:val="ListBullet"/>
        <w:ind w:left="317" w:hanging="173"/>
      </w:pPr>
      <w:r>
        <w:t>Admissions, learner services, assessment, certification and verification.</w:t>
      </w:r>
    </w:p>
    <w:p>
      <w:pPr>
        <w:pStyle w:val="ListBullet"/>
        <w:ind w:left="317" w:hanging="173"/>
      </w:pPr>
      <w:r>
        <w:t>Faculty appointment, induction, performance and professional development.</w:t>
      </w:r>
    </w:p>
    <w:p>
      <w:pPr>
        <w:pStyle w:val="ListBullet"/>
        <w:ind w:left="317" w:hanging="173"/>
      </w:pPr>
      <w:r>
        <w:t>Research, journals, publications and knowledge translation.</w:t>
      </w:r>
    </w:p>
    <w:p>
      <w:pPr>
        <w:pStyle w:val="ListBullet"/>
        <w:ind w:left="317" w:hanging="173"/>
      </w:pPr>
      <w:r>
        <w:t>Digital platforms, information security, accessibility, business continuity and data quality.</w:t>
      </w:r>
    </w:p>
    <w:p>
      <w:pPr>
        <w:pStyle w:val="ListBullet"/>
        <w:ind w:left="317" w:hanging="173"/>
      </w:pPr>
      <w:r>
        <w:t>Partnerships, commissioned services, facilities, procurement and outsourced activities.</w:t>
      </w:r>
    </w:p>
    <w:p>
      <w:pPr>
        <w:pStyle w:val="Heading1"/>
      </w:pPr>
      <w:r>
        <w:t>Quality principles</w:t>
      </w:r>
    </w:p>
    <w:tbl>
      <w:tblPr>
        <w:tblW w:type="auto" w:w="0"/>
        <w:jc w:val="center"/>
        <w:tblLayout w:type="fixed"/>
        <w:tblLook w:firstColumn="1" w:firstRow="1" w:lastColumn="0" w:lastRow="0" w:noHBand="0" w:noVBand="1" w:val="04A0"/>
      </w:tblPr>
      <w:tblGrid>
        <w:gridCol w:w="3278"/>
        <w:gridCol w:w="3278"/>
        <w:gridCol w:w="3278"/>
      </w:tblGrid>
      <w:tr>
        <w:trPr>
          <w:tblHeader w:val="true"/>
        </w:trPr>
        <w:tc>
          <w:tcPr>
            <w:tcW w:type="dxa" w:w="1757"/>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Principle</w:t>
            </w:r>
          </w:p>
        </w:tc>
        <w:tc>
          <w:tcPr>
            <w:tcW w:type="dxa" w:w="4061"/>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RIYAADA commitment</w:t>
            </w:r>
          </w:p>
        </w:tc>
        <w:tc>
          <w:tcPr>
            <w:tcW w:type="dxa" w:w="3658"/>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Core evidence</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Purpose and relevance</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Programmes respond to documented learner, institutional and public needs.</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Needs analysis; stakeholder records; programme rationale.</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Learner-centred quality</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Information, support, fairness, inclusion and safe learning are protected.</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Learner handbook; support records; complaints and adjustment logs.</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Academic integrity</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Outcomes, assessment and scholarship are rigorous and ethical.</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Specifications; rubrics; moderation; integrity cases.</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Competent people</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Faculty and staff are qualified, inducted, supported and reviewed.</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Verified profiles; contracts; induction; observation and CPD.</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Evidence and transparency</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Decisions use reliable information and documented governance.</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Dashboards; minutes; audits; action logs.</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Continuous improvement</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Feedback and performance data produce tracked corrective and preventive action.</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Improvement register; closure evidence; review reports.</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Context and resilience</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Controls reflect fragility, disruption, access constraints and responsible adaptation.</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Risk register; contingencies; continuity tests.</w:t>
            </w:r>
          </w:p>
        </w:tc>
      </w:tr>
    </w:tbl>
    <w:p>
      <w:pPr>
        <w:spacing w:after="0"/>
      </w:pPr>
    </w:p>
    <w:p>
      <w:pPr>
        <w:pStyle w:val="Heading1"/>
      </w:pPr>
      <w:r>
        <w:t>Quality governance and accountability</w:t>
      </w:r>
    </w:p>
    <w:tbl>
      <w:tblPr>
        <w:tblW w:type="auto" w:w="0"/>
        <w:jc w:val="center"/>
        <w:tblLayout w:type="fixed"/>
        <w:tblLook w:firstColumn="1" w:firstRow="1" w:lastColumn="0" w:lastRow="0" w:noHBand="0" w:noVBand="1" w:val="04A0"/>
      </w:tblPr>
      <w:tblGrid>
        <w:gridCol w:w="4917"/>
        <w:gridCol w:w="4917"/>
      </w:tblGrid>
      <w:tr>
        <w:trPr>
          <w:tblHeader w:val="true"/>
        </w:trPr>
        <w:tc>
          <w:tcPr>
            <w:tcW w:type="dxa" w:w="2448"/>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Body / role</w:t>
            </w:r>
          </w:p>
        </w:tc>
        <w:tc>
          <w:tcPr>
            <w:tcW w:type="dxa" w:w="7027"/>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Accountability</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Governing Board</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Approves quality policy; receives annual assurance; oversees institutional risk and integrity.</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Academic Council</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Approves academic standards, programmes, awards, assessment rules and academic improvement.</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Dean</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Executive accountability for academic quality, staffing, resources and implementation.</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Quality Assurance &amp; Standards Unit</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Maintains framework, conducts reviews, audits evidence, supports improvement and reports assurance.</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Programme Committee / Lead</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Owns programme design, delivery, assessment, learner experience and action plans.</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Registry / Certification</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Maintains authoritative learner, result, award and verification records.</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Digital Learning &amp; Technology</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Assures platform availability, access control, support, accessibility, backups and learning analytics.</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Faculty / trainers</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Deliver approved curriculum, assess fairly, protect integrity and act on feedback.</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Learners</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Engage honestly, provide feedback, protect accounts and comply with learning and conduct requirements.</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Partners / contractors</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Meet documented quality, data, safeguarding, branding and reporting obligations.</w:t>
            </w:r>
          </w:p>
        </w:tc>
      </w:tr>
    </w:tbl>
    <w:p>
      <w:pPr>
        <w:spacing w:after="0"/>
      </w:pPr>
    </w:p>
    <w:p>
      <w:pPr>
        <w:pStyle w:val="Heading1"/>
      </w:pPr>
      <w:r>
        <w:t>RIYAADA quality cycle</w:t>
      </w:r>
    </w:p>
    <w:tbl>
      <w:tblPr>
        <w:tblW w:type="auto" w:w="0"/>
        <w:jc w:val="center"/>
        <w:tblLayout w:type="fixed"/>
        <w:tblLook w:firstColumn="1" w:firstRow="1" w:lastColumn="0" w:lastRow="0" w:noHBand="0" w:noVBand="1" w:val="04A0"/>
      </w:tblPr>
      <w:tblGrid>
        <w:gridCol w:w="1639"/>
        <w:gridCol w:w="1639"/>
        <w:gridCol w:w="1639"/>
        <w:gridCol w:w="1639"/>
        <w:gridCol w:w="1639"/>
        <w:gridCol w:w="1639"/>
      </w:tblGrid>
      <w:tr>
        <w:tc>
          <w:tcPr>
            <w:tcW w:type="dxa" w:w="1579"/>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1</w:t>
            </w:r>
          </w:p>
          <w:p>
            <w:pPr>
              <w:spacing w:after="40"/>
              <w:jc w:val="center"/>
            </w:pPr>
            <w:r>
              <w:rPr>
                <w:b/>
                <w:color w:val="0B1F3A"/>
                <w:sz w:val="17"/>
              </w:rPr>
              <w:t>PLAN</w:t>
            </w:r>
          </w:p>
          <w:p>
            <w:pPr>
              <w:spacing w:after="0"/>
              <w:jc w:val="center"/>
            </w:pPr>
            <w:r>
              <w:rPr>
                <w:color w:val="5B6777"/>
                <w:sz w:val="14"/>
              </w:rPr>
              <w:t>Need, outcomes, resources and risks</w:t>
            </w:r>
          </w:p>
        </w:tc>
        <w:tc>
          <w:tcPr>
            <w:tcW w:type="dxa" w:w="1579"/>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2</w:t>
            </w:r>
          </w:p>
          <w:p>
            <w:pPr>
              <w:spacing w:after="40"/>
              <w:jc w:val="center"/>
            </w:pPr>
            <w:r>
              <w:rPr>
                <w:b/>
                <w:color w:val="0B1F3A"/>
                <w:sz w:val="17"/>
              </w:rPr>
              <w:t>APPROVE</w:t>
            </w:r>
          </w:p>
          <w:p>
            <w:pPr>
              <w:spacing w:after="0"/>
              <w:jc w:val="center"/>
            </w:pPr>
            <w:r>
              <w:rPr>
                <w:color w:val="5B6777"/>
                <w:sz w:val="14"/>
              </w:rPr>
              <w:t>Academic and quality scrutiny</w:t>
            </w:r>
          </w:p>
        </w:tc>
        <w:tc>
          <w:tcPr>
            <w:tcW w:type="dxa" w:w="1579"/>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3</w:t>
            </w:r>
          </w:p>
          <w:p>
            <w:pPr>
              <w:spacing w:after="40"/>
              <w:jc w:val="center"/>
            </w:pPr>
            <w:r>
              <w:rPr>
                <w:b/>
                <w:color w:val="0B1F3A"/>
                <w:sz w:val="17"/>
              </w:rPr>
              <w:t>DELIVER</w:t>
            </w:r>
          </w:p>
          <w:p>
            <w:pPr>
              <w:spacing w:after="0"/>
              <w:jc w:val="center"/>
            </w:pPr>
            <w:r>
              <w:rPr>
                <w:color w:val="5B6777"/>
                <w:sz w:val="14"/>
              </w:rPr>
              <w:t>Controlled learning and support</w:t>
            </w:r>
          </w:p>
        </w:tc>
        <w:tc>
          <w:tcPr>
            <w:tcW w:type="dxa" w:w="1579"/>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4</w:t>
            </w:r>
          </w:p>
          <w:p>
            <w:pPr>
              <w:spacing w:after="40"/>
              <w:jc w:val="center"/>
            </w:pPr>
            <w:r>
              <w:rPr>
                <w:b/>
                <w:color w:val="0B1F3A"/>
                <w:sz w:val="17"/>
              </w:rPr>
              <w:t>MONITOR</w:t>
            </w:r>
          </w:p>
          <w:p>
            <w:pPr>
              <w:spacing w:after="0"/>
              <w:jc w:val="center"/>
            </w:pPr>
            <w:r>
              <w:rPr>
                <w:color w:val="5B6777"/>
                <w:sz w:val="14"/>
              </w:rPr>
              <w:t>Data, feedback and exceptions</w:t>
            </w:r>
          </w:p>
        </w:tc>
        <w:tc>
          <w:tcPr>
            <w:tcW w:type="dxa" w:w="1579"/>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5</w:t>
            </w:r>
          </w:p>
          <w:p>
            <w:pPr>
              <w:spacing w:after="40"/>
              <w:jc w:val="center"/>
            </w:pPr>
            <w:r>
              <w:rPr>
                <w:b/>
                <w:color w:val="0B1F3A"/>
                <w:sz w:val="17"/>
              </w:rPr>
              <w:t>REVIEW</w:t>
            </w:r>
          </w:p>
          <w:p>
            <w:pPr>
              <w:spacing w:after="0"/>
              <w:jc w:val="center"/>
            </w:pPr>
            <w:r>
              <w:rPr>
                <w:color w:val="5B6777"/>
                <w:sz w:val="14"/>
              </w:rPr>
              <w:t>Evaluation, audit and external input</w:t>
            </w:r>
          </w:p>
        </w:tc>
        <w:tc>
          <w:tcPr>
            <w:tcW w:type="dxa" w:w="1579"/>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6</w:t>
            </w:r>
          </w:p>
          <w:p>
            <w:pPr>
              <w:spacing w:after="40"/>
              <w:jc w:val="center"/>
            </w:pPr>
            <w:r>
              <w:rPr>
                <w:b/>
                <w:color w:val="0B1F3A"/>
                <w:sz w:val="17"/>
              </w:rPr>
              <w:t>IMPROVE</w:t>
            </w:r>
          </w:p>
          <w:p>
            <w:pPr>
              <w:spacing w:after="0"/>
              <w:jc w:val="center"/>
            </w:pPr>
            <w:r>
              <w:rPr>
                <w:color w:val="5B6777"/>
                <w:sz w:val="14"/>
              </w:rPr>
              <w:t>Corrective action and redesign</w:t>
            </w:r>
          </w:p>
        </w:tc>
      </w:tr>
    </w:tbl>
    <w:p>
      <w:pPr>
        <w:pStyle w:val="Heading1"/>
      </w:pPr>
      <w:r>
        <w:t>Institutional standards</w:t>
      </w:r>
    </w:p>
    <w:tbl>
      <w:tblPr>
        <w:tblW w:type="auto" w:w="0"/>
        <w:jc w:val="center"/>
        <w:tblLayout w:type="fixed"/>
        <w:tblLook w:firstColumn="1" w:firstRow="1" w:lastColumn="0" w:lastRow="0" w:noHBand="0" w:noVBand="1" w:val="04A0"/>
      </w:tblPr>
      <w:tblGrid>
        <w:gridCol w:w="4917"/>
        <w:gridCol w:w="4917"/>
      </w:tblGrid>
      <w:tr>
        <w:trPr>
          <w:tblHeader w:val="true"/>
        </w:trPr>
        <w:tc>
          <w:tcPr>
            <w:tcW w:type="dxa" w:w="2664"/>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6"/>
              </w:rPr>
              <w:t>Standard</w:t>
            </w:r>
          </w:p>
        </w:tc>
        <w:tc>
          <w:tcPr>
            <w:tcW w:type="dxa" w:w="6811"/>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6"/>
              </w:rPr>
              <w:t>Minimum institutional expectation</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6"/>
              </w:rPr>
              <w:t>QS1 Governance &amp; strategy</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6"/>
              </w:rPr>
              <w:t>Clear mandate, delegation, committee records, risk oversight and annual objectives.</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6"/>
              </w:rPr>
              <w:t>QS2 Programme design</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6"/>
              </w:rPr>
              <w:t>Documented need, outcomes, level, workload, inclusive design, assessment and approval.</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6"/>
              </w:rPr>
              <w:t>QS3 Admissions &amp; information</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6"/>
              </w:rPr>
              <w:t>Accurate public information, fair eligibility decisions, identity and record controls.</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6"/>
              </w:rPr>
              <w:t>QS4 Learning delivery</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6"/>
              </w:rPr>
              <w:t>Prepared faculty, approved materials, active learning, support and delivery monitoring.</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6"/>
              </w:rPr>
              <w:t>QS5 Assessment &amp; awards</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6"/>
              </w:rPr>
              <w:t>Valid and secure assessment, moderation, appeals, result approval and verification.</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6"/>
              </w:rPr>
              <w:t>QS6 Learner experience</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6"/>
              </w:rPr>
              <w:t>Orientation, communication, wellbeing, accessibility, safeguarding and complaints.</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6"/>
              </w:rPr>
              <w:t>QS7 People &amp; capability</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6"/>
              </w:rPr>
              <w:t>Verified qualifications, induction, observation, feedback, CPD and performance review.</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6"/>
              </w:rPr>
              <w:t>QS8 Digital quality</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6"/>
              </w:rPr>
              <w:t>Availability, access, privacy, accessibility, continuity, analytics and support.</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6"/>
              </w:rPr>
              <w:t>QS9 Research &amp; publishing</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6"/>
              </w:rPr>
              <w:t>Ethics, editorial independence, peer review, transparency and corrections.</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6"/>
              </w:rPr>
              <w:t>QS10 Impact &amp; improvement</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6"/>
              </w:rPr>
              <w:t>Completion, achievement, application, institutional impact and action closure.</w:t>
            </w:r>
          </w:p>
        </w:tc>
      </w:tr>
    </w:tbl>
    <w:p>
      <w:pPr>
        <w:spacing w:after="0"/>
      </w:pPr>
    </w:p>
    <w:p>
      <w:pPr>
        <w:pStyle w:val="Heading1"/>
      </w:pPr>
      <w:r>
        <w:t>Quality indicators and dashboard</w:t>
      </w:r>
    </w:p>
    <w:tbl>
      <w:tblPr>
        <w:tblW w:type="auto" w:w="0"/>
        <w:jc w:val="center"/>
        <w:tblLayout w:type="fixed"/>
        <w:tblLook w:firstColumn="1" w:firstRow="1" w:lastColumn="0" w:lastRow="0" w:noHBand="0" w:noVBand="1" w:val="04A0"/>
      </w:tblPr>
      <w:tblGrid>
        <w:gridCol w:w="3278"/>
        <w:gridCol w:w="3278"/>
        <w:gridCol w:w="3278"/>
      </w:tblGrid>
      <w:tr>
        <w:trPr>
          <w:tblHeader w:val="true"/>
        </w:trPr>
        <w:tc>
          <w:tcPr>
            <w:tcW w:type="dxa" w:w="144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Dimension</w:t>
            </w:r>
          </w:p>
        </w:tc>
        <w:tc>
          <w:tcPr>
            <w:tcW w:type="dxa" w:w="511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Core indicators</w:t>
            </w:r>
          </w:p>
        </w:tc>
        <w:tc>
          <w:tcPr>
            <w:tcW w:type="dxa" w:w="2923"/>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Suggested threshold / trigger</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Access</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Applications, eligibility, enrolment conversion, gender/region/sector profile.</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Investigate material inequity or unexplained selection variance.</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Engagement</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Attendance, LMS activity, on-time submission, withdrawals.</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Early-alert where engagement falls below programme rule.</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Achievement</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Pass, distinction, reassessment, non-completion and moderation variance.</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Review unexpected variance across cohorts, assessors or modes.</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Experience</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Satisfaction, net recommendation, faculty rating, support response and complaints.</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Corrective plan for recurrent low ratings or unresolved complaints.</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Integrity</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Similarity cases, misconduct, appeals, security incidents and certificate anomalies.</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Immediate escalation for fraud, systemic or high-risk events.</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Impact</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Workplace application, capstone adoption, organisational change and alumni progression.</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Annual impact review and programme redesign evidence.</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Operations</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Platform uptime, support response, schedule delivery, record completeness.</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Incident response and continuity action against service target.</w:t>
            </w:r>
          </w:p>
        </w:tc>
      </w:tr>
    </w:tbl>
    <w:p>
      <w:pPr>
        <w:spacing w:after="0"/>
      </w:pPr>
    </w:p>
    <w:p>
      <w:pPr>
        <w:pStyle w:val="Heading1"/>
      </w:pPr>
      <w:r>
        <w:t>Programme review model</w:t>
      </w:r>
    </w:p>
    <w:tbl>
      <w:tblPr>
        <w:tblW w:type="auto" w:w="0"/>
        <w:jc w:val="center"/>
        <w:tblLayout w:type="fixed"/>
        <w:tblLook w:firstColumn="1" w:firstRow="1" w:lastColumn="0" w:lastRow="0" w:noHBand="0" w:noVBand="1" w:val="04A0"/>
      </w:tblPr>
      <w:tblGrid>
        <w:gridCol w:w="2459"/>
        <w:gridCol w:w="2459"/>
        <w:gridCol w:w="2459"/>
        <w:gridCol w:w="2459"/>
      </w:tblGrid>
      <w:tr>
        <w:trPr>
          <w:tblHeader w:val="true"/>
        </w:trPr>
        <w:tc>
          <w:tcPr>
            <w:tcW w:type="dxa" w:w="1584"/>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Review</w:t>
            </w:r>
          </w:p>
        </w:tc>
        <w:tc>
          <w:tcPr>
            <w:tcW w:type="dxa" w:w="144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Frequency</w:t>
            </w:r>
          </w:p>
        </w:tc>
        <w:tc>
          <w:tcPr>
            <w:tcW w:type="dxa" w:w="417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Evidence</w:t>
            </w:r>
          </w:p>
        </w:tc>
        <w:tc>
          <w:tcPr>
            <w:tcW w:type="dxa" w:w="2275"/>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Authority / output</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Session pulse</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Each session/module</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Attendance, participation, faculty observations, issues.</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Programme lead action.</w:t>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Cohort review</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End of cohort</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Results, feedback, complaints, integrity, delivery, finances.</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Cohort report and action plan.</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Annual monitoring</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Annually</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Trend dashboard, curriculum currency, faculty, resources, impact.</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Academic Council continuation decision.</w:t>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Periodic review</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Every 3 years or risk-based</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External input, benchmark, stakeholder need, full performance history.</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Revalidation, redesign, suspension or closure.</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Thematic audit</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Risk-based</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Sampled evidence across programmes or services.</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Assurance rating and corrective action.</w:t>
            </w:r>
          </w:p>
        </w:tc>
      </w:tr>
    </w:tbl>
    <w:p>
      <w:pPr>
        <w:spacing w:after="0"/>
      </w:pPr>
    </w:p>
    <w:p>
      <w:pPr>
        <w:pStyle w:val="Heading1"/>
      </w:pPr>
      <w:r>
        <w:t>Assurance ratings and action control</w:t>
      </w:r>
    </w:p>
    <w:tbl>
      <w:tblPr>
        <w:tblW w:type="auto" w:w="0"/>
        <w:jc w:val="center"/>
        <w:tblLayout w:type="fixed"/>
        <w:tblLook w:firstColumn="1" w:firstRow="1" w:lastColumn="0" w:lastRow="0" w:noHBand="0" w:noVBand="1" w:val="04A0"/>
      </w:tblPr>
      <w:tblGrid>
        <w:gridCol w:w="3278"/>
        <w:gridCol w:w="3278"/>
        <w:gridCol w:w="3278"/>
      </w:tblGrid>
      <w:tr>
        <w:trPr>
          <w:tblHeader w:val="true"/>
        </w:trPr>
        <w:tc>
          <w:tcPr>
            <w:tcW w:type="dxa" w:w="1944"/>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Rating</w:t>
            </w:r>
          </w:p>
        </w:tc>
        <w:tc>
          <w:tcPr>
            <w:tcW w:type="dxa" w:w="468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Meaning</w:t>
            </w:r>
          </w:p>
        </w:tc>
        <w:tc>
          <w:tcPr>
            <w:tcW w:type="dxa" w:w="2851"/>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Required response</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Substantial assurance</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Controls are designed and operating; only minor enhancement opportunities.</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Routine improvement.</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Moderate assurance</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Generally sound, with weaknesses that require tracked action.</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Named action plan and follow-up.</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Limited assurance</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Material weaknesses threaten quality, learner protection or reliable outcomes.</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Executive escalation, corrective action and re-review.</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No assurance</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Controls absent or failing; unacceptable risk or evidence of serious breach.</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Suspend activity where necessary; Board oversight and remediation.</w:t>
            </w:r>
          </w:p>
        </w:tc>
      </w:tr>
    </w:tbl>
    <w:p>
      <w:pPr>
        <w:spacing w:after="0"/>
      </w:pPr>
    </w:p>
    <w:p>
      <w:pPr>
        <w:pStyle w:val="Heading1"/>
      </w:pPr>
      <w:r>
        <w:t>Quality review tools</w:t>
      </w:r>
    </w:p>
    <w:tbl>
      <w:tblPr>
        <w:tblW w:type="auto" w:w="0"/>
        <w:jc w:val="center"/>
        <w:tblLayout w:type="fixed"/>
        <w:tblLook w:firstColumn="1" w:firstRow="1" w:lastColumn="0" w:lastRow="0" w:noHBand="0" w:noVBand="1" w:val="04A0"/>
      </w:tblPr>
      <w:tblGrid>
        <w:gridCol w:w="4917"/>
        <w:gridCol w:w="4917"/>
      </w:tblGrid>
      <w:tr>
        <w:trPr>
          <w:tblHeader w:val="true"/>
        </w:trPr>
        <w:tc>
          <w:tcPr>
            <w:tcW w:type="dxa" w:w="223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Tool</w:t>
            </w:r>
          </w:p>
        </w:tc>
        <w:tc>
          <w:tcPr>
            <w:tcW w:type="dxa" w:w="7243"/>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Template fields</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Cohort quality report</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Programme/cohort; demographics; engagement; achievement; feedback; incidents; resources; actions; owner; closure.</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Course observation</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Preparation; subject expertise; learning design; inclusion; participation; digital practice; assessment guidance; strengths; actions.</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Internal audit checklist</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Requirement; evidence sampled; conformity; finding; risk; corrective action; due date; verification.</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Improvement register</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Source; issue/opportunity; root cause; action; owner; due date; status; effectiveness check.</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Annual assurance statement</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Scope; evidence; significant risks; controls; performance; unresolved actions; overall rating; signatures.</w:t>
            </w:r>
          </w:p>
        </w:tc>
      </w:tr>
    </w:tbl>
    <w:p>
      <w:pPr>
        <w:spacing w:after="0"/>
      </w:pPr>
    </w:p>
    <w:p>
      <w:pPr>
        <w:pStyle w:val="Heading1"/>
      </w:pPr>
      <w:r>
        <w:t>Reference framework and source notes</w:t>
      </w:r>
    </w:p>
    <w:p>
      <w:r>
        <w:t>This document should be read with current Somali law, RIYAADA governing instruments and applicable international standards. External references are used for alignment and do not imply certification, accreditation or formal endorsement.</w:t>
      </w:r>
    </w:p>
    <w:p>
      <w:pPr>
        <w:pStyle w:val="ListBullet"/>
      </w:pPr>
      <w:hyperlink r:id="rId12">
        <w:r>
          <w:rPr>
            <w:color w:val="0F8B8D"/>
            <w:u w:val="single"/>
          </w:rPr>
          <w:t>ISO 21001:2025 — Educational organizations management systems</w:t>
        </w:r>
      </w:hyperlink>
    </w:p>
    <w:p>
      <w:pPr>
        <w:pStyle w:val="ListBullet"/>
      </w:pPr>
      <w:hyperlink r:id="rId13">
        <w:r>
          <w:rPr>
            <w:color w:val="0F8B8D"/>
            <w:u w:val="single"/>
          </w:rPr>
          <w:t>ISO 29993:2017 — Learning services outside formal education</w:t>
        </w:r>
      </w:hyperlink>
    </w:p>
    <w:p>
      <w:pPr>
        <w:pStyle w:val="ListBullet"/>
      </w:pPr>
      <w:hyperlink r:id="rId14">
        <w:r>
          <w:rPr>
            <w:color w:val="0F8B8D"/>
            <w:u w:val="single"/>
          </w:rPr>
          <w:t>RIYAADA Academy</w:t>
        </w:r>
      </w:hyperlink>
    </w:p>
    <w:p>
      <w:pPr>
        <w:pStyle w:val="ListBullet"/>
      </w:pPr>
      <w:hyperlink r:id="rId15">
        <w:r>
          <w:rPr>
            <w:color w:val="0F8B8D"/>
            <w:u w:val="single"/>
          </w:rPr>
          <w:t>RIYAADA Journals Policy Framework</w:t>
        </w:r>
      </w:hyperlink>
    </w:p>
    <w:p>
      <w:pPr>
        <w:pStyle w:val="ListBullet"/>
      </w:pPr>
      <w:r>
        <w:t>Note: alignment references do not constitute certification.</w:t>
      </w:r>
    </w:p>
    <w:p>
      <w:pPr>
        <w:pStyle w:val="Heading1"/>
      </w:pPr>
      <w:r>
        <w:t>Implementation record</w:t>
      </w:r>
    </w:p>
    <w:tbl>
      <w:tblPr>
        <w:tblW w:type="auto" w:w="0"/>
        <w:jc w:val="center"/>
        <w:tblLayout w:type="fixed"/>
        <w:tblLook w:firstColumn="1" w:firstRow="1" w:lastColumn="0" w:lastRow="0" w:noHBand="0" w:noVBand="1" w:val="04A0"/>
      </w:tblPr>
      <w:tblGrid>
        <w:gridCol w:w="2459"/>
        <w:gridCol w:w="2459"/>
        <w:gridCol w:w="2459"/>
        <w:gridCol w:w="2459"/>
      </w:tblGrid>
      <w:tr>
        <w:trPr>
          <w:tblHeader w:val="true"/>
        </w:trPr>
        <w:tc>
          <w:tcPr>
            <w:tcW w:type="dxa" w:w="259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Action</w:t>
            </w:r>
          </w:p>
        </w:tc>
        <w:tc>
          <w:tcPr>
            <w:tcW w:type="dxa" w:w="252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Owner</w:t>
            </w:r>
          </w:p>
        </w:tc>
        <w:tc>
          <w:tcPr>
            <w:tcW w:type="dxa" w:w="151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Due date</w:t>
            </w:r>
          </w:p>
        </w:tc>
        <w:tc>
          <w:tcPr>
            <w:tcW w:type="dxa" w:w="2851"/>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Evidence / status</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Approval and publication</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Quality Assurance &amp; Standards Unit</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[Date]</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[Board minute / approval reference]</w:t>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Staff briefing and learner communication</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Relevant directorate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[Date]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[Briefing record / webpage]</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Systems and forms configured</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Digital Learning / Registry</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[Date]</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[Configuration test / form register]</w:t>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First compliance review</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Quality Assurance &amp; Standards Unit</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[Date]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[Audit report / improvement log]</w:t>
            </w:r>
          </w:p>
        </w:tc>
      </w:tr>
    </w:tbl>
    <w:p>
      <w:pPr>
        <w:spacing w:after="0"/>
      </w:pPr>
    </w:p>
    <w:tbl>
      <w:tblPr>
        <w:tblW w:type="auto" w:w="0"/>
        <w:jc w:val="center"/>
        <w:tblLayout w:type="fixed"/>
        <w:tblLook w:firstColumn="1" w:firstRow="1" w:lastColumn="0" w:lastRow="0" w:noHBand="0" w:noVBand="1" w:val="04A0"/>
      </w:tblPr>
      <w:tblGrid>
        <w:gridCol w:w="4917"/>
        <w:gridCol w:w="4917"/>
      </w:tblGrid>
      <w:tr>
        <w:tc>
          <w:tcPr>
            <w:tcW w:type="dxa" w:w="187"/>
            <w:shd w:fill="D4A72C"/>
            <w:tcMar>
              <w:top w:w="90" w:type="dxa"/>
              <w:start w:w="100" w:type="dxa"/>
              <w:bottom w:w="90" w:type="dxa"/>
              <w:end w:w="100" w:type="dxa"/>
            </w:tcMar>
          </w:tcPr>
          <w:p/>
        </w:tc>
        <w:tc>
          <w:tcPr>
            <w:tcW w:type="dxa" w:w="9288"/>
            <w:shd w:fill="FFF8E5"/>
            <w:tcMar>
              <w:top w:w="90" w:type="dxa"/>
              <w:start w:w="100" w:type="dxa"/>
              <w:bottom w:w="90" w:type="dxa"/>
              <w:end w:w="100" w:type="dxa"/>
            </w:tcMar>
          </w:tcPr>
          <w:p>
            <w:pPr>
              <w:spacing w:after="40"/>
            </w:pPr>
            <w:r>
              <w:rPr>
                <w:b/>
                <w:color w:val="D4A72C"/>
                <w:sz w:val="18"/>
              </w:rPr>
              <w:t>VERSION CONTROL</w:t>
            </w:r>
          </w:p>
          <w:p>
            <w:pPr>
              <w:spacing w:after="0"/>
            </w:pPr>
            <w:r>
              <w:rPr>
                <w:color w:val="17202A"/>
                <w:sz w:val="18"/>
              </w:rPr>
              <w:t>Only the version held in the RIYAADA controlled document repository is authoritative. Obsolete versions must be archived, watermarked “Superseded”, and removed from active webpages and shared drives.</w:t>
            </w:r>
          </w:p>
        </w:tc>
      </w:tr>
    </w:tbl>
    <w:p>
      <w:pPr>
        <w:spacing w:after="0"/>
      </w:pPr>
    </w:p>
    <w:sectPr w:rsidR="00FC693F" w:rsidRPr="0006063C" w:rsidSect="00034616">
      <w:headerReference w:type="default" r:id="rId9"/>
      <w:footerReference w:type="default" r:id="rId10"/>
      <w:pgSz w:w="11909" w:h="16834"/>
      <w:pgMar w:top="1037" w:right="1037" w:bottom="1037" w:left="1037" w:header="360" w:footer="37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line="20" w:lineRule="exact"/>
    </w:pPr>
  </w:p>
  <w:tbl>
    <w:tblPr>
      <w:tblW w:type="auto" w:w="0"/>
      <w:jc w:val="center"/>
      <w:tblLayout w:type="fixed"/>
      <w:tblLook w:firstColumn="1" w:firstRow="1" w:lastColumn="0" w:lastRow="0" w:noHBand="0" w:noVBand="1" w:val="04A0"/>
    </w:tblPr>
    <w:tblGrid>
      <w:gridCol w:w="3274"/>
      <w:gridCol w:w="3274"/>
      <w:gridCol w:w="3274"/>
    </w:tblGrid>
    <w:tr>
      <w:tc>
        <w:tcPr>
          <w:tcW w:type="dxa" w:w="3528"/>
          <w:tcBorders>
            <w:top w:sz="8" w:val="single" w:color="D4A72C"/>
          </w:tcBorders>
          <w:tcMar>
            <w:top w:w="35" w:type="dxa"/>
            <w:start w:w="35" w:type="dxa"/>
            <w:bottom w:w="35" w:type="dxa"/>
            <w:end w:w="35" w:type="dxa"/>
          </w:tcMar>
        </w:tcPr>
        <w:p>
          <w:pPr>
            <w:spacing w:after="0"/>
          </w:pPr>
          <w:r>
            <w:rPr>
              <w:b/>
              <w:color w:val="0B1F3A"/>
              <w:sz w:val="14"/>
            </w:rPr>
            <w:t>RIYAADA  |  LEARN. QUALIFY. LEAD.</w:t>
          </w:r>
        </w:p>
      </w:tc>
      <w:tc>
        <w:tcPr>
          <w:tcW w:type="dxa" w:w="3456"/>
          <w:tcBorders>
            <w:top w:sz="8" w:val="single" w:color="D4A72C"/>
          </w:tcBorders>
          <w:tcMar>
            <w:top w:w="35" w:type="dxa"/>
            <w:start w:w="35" w:type="dxa"/>
            <w:bottom w:w="35" w:type="dxa"/>
            <w:end w:w="35" w:type="dxa"/>
          </w:tcMar>
        </w:tcPr>
        <w:p>
          <w:pPr>
            <w:spacing w:after="0"/>
            <w:jc w:val="center"/>
          </w:pPr>
          <w:r>
            <w:rPr>
              <w:color w:val="0F8B8D"/>
              <w:sz w:val="14"/>
            </w:rPr>
            <w:t>riyaadaacademy.com</w:t>
          </w:r>
        </w:p>
      </w:tc>
      <w:tc>
        <w:tcPr>
          <w:tcW w:type="dxa" w:w="2837"/>
          <w:tcBorders>
            <w:top w:sz="8" w:val="single" w:color="D4A72C"/>
          </w:tcBorders>
          <w:tcMar>
            <w:top w:w="35" w:type="dxa"/>
            <w:start w:w="35" w:type="dxa"/>
            <w:bottom w:w="35" w:type="dxa"/>
            <w:end w:w="35" w:type="dxa"/>
          </w:tcMar>
        </w:tcPr>
        <w:p>
          <w:pPr>
            <w:spacing w:after="0"/>
            <w:jc w:val="right"/>
          </w:pPr>
          <w:r>
            <w:rPr>
              <w:sz w:val="14"/>
            </w:rPr>
            <w:t xml:space="preserve">Page </w:t>
          </w:r>
          <w:r>
            <w:fldChar w:fldCharType="begin"/>
          </w:r>
          <w:r>
            <w:instrText xml:space="preserve">PAGE</w:instrText>
          </w:r>
          <w:r>
            <w:fldChar w:fldCharType="separate"/>
          </w:r>
          <w:r>
            <w:t>1</w:t>
          </w:r>
          <w:r>
            <w:fldChar w:fldCharType="end"/>
          </w:r>
          <w:r>
            <w:rPr>
              <w:sz w:val="14"/>
            </w:rPr>
            <w:t xml:space="preserve"> of </w:t>
          </w:r>
          <w:r>
            <w:fldChar w:fldCharType="begin"/>
          </w:r>
          <w:r>
            <w:instrText xml:space="preserve">NUMPAGES</w:instrText>
          </w:r>
          <w:r>
            <w:fldChar w:fldCharType="separate"/>
          </w:r>
          <w:r>
            <w:t>1</w:t>
          </w:r>
          <w:r>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 w:lineRule="exact"/>
    </w:pPr>
  </w:p>
  <w:tbl>
    <w:tblPr>
      <w:tblW w:type="auto" w:w="0"/>
      <w:jc w:val="center"/>
      <w:tblLayout w:type="fixed"/>
      <w:tblLook w:firstColumn="1" w:firstRow="1" w:lastColumn="0" w:lastRow="0" w:noHBand="0" w:noVBand="1" w:val="04A0"/>
    </w:tblPr>
    <w:tblGrid>
      <w:gridCol w:w="3274"/>
      <w:gridCol w:w="3274"/>
      <w:gridCol w:w="3274"/>
    </w:tblGrid>
    <w:tr>
      <w:tc>
        <w:tcPr>
          <w:tcW w:type="dxa" w:w="864"/>
          <w:tcBorders>
            <w:bottom w:sz="8" w:val="single" w:color="D4A72C"/>
          </w:tcBorders>
          <w:tcMar>
            <w:top w:w="35" w:type="dxa"/>
            <w:start w:w="35" w:type="dxa"/>
            <w:bottom w:w="35" w:type="dxa"/>
            <w:end w:w="35" w:type="dxa"/>
          </w:tcMar>
        </w:tcPr>
        <w:p>
          <w:pPr>
            <w:jc w:val="center"/>
          </w:pPr>
          <w:r>
            <w:drawing>
              <wp:inline xmlns:a="http://schemas.openxmlformats.org/drawingml/2006/main" xmlns:pic="http://schemas.openxmlformats.org/drawingml/2006/picture">
                <wp:extent cx="384048" cy="384048"/>
                <wp:docPr id="1" name="Picture 1" descr="Image: item1.xml"/>
                <wp:cNvGraphicFramePr>
                  <a:graphicFrameLocks noChangeAspect="1"/>
                </wp:cNvGraphicFramePr>
                <a:graphic>
                  <a:graphicData uri="http://schemas.openxmlformats.org/drawingml/2006/picture">
                    <pic:pic>
                      <pic:nvPicPr>
                        <pic:cNvPr id="0" name="riyaada_mark.png"/>
                        <pic:cNvPicPr/>
                      </pic:nvPicPr>
                      <pic:blipFill>
                        <a:blip r:embed="rId1"/>
                        <a:stretch>
                          <a:fillRect/>
                        </a:stretch>
                      </pic:blipFill>
                      <pic:spPr>
                        <a:xfrm>
                          <a:off x="0" y="0"/>
                          <a:ext cx="384048" cy="384048"/>
                        </a:xfrm>
                        <a:prstGeom prst="rect"/>
                      </pic:spPr>
                    </pic:pic>
                  </a:graphicData>
                </a:graphic>
              </wp:inline>
            </w:drawing>
          </w:r>
        </w:p>
      </w:tc>
      <w:tc>
        <w:tcPr>
          <w:tcW w:type="dxa" w:w="6998"/>
          <w:tcBorders>
            <w:bottom w:sz="8" w:val="single" w:color="D4A72C"/>
          </w:tcBorders>
          <w:tcMar>
            <w:top w:w="35" w:type="dxa"/>
            <w:start w:w="35" w:type="dxa"/>
            <w:bottom w:w="35" w:type="dxa"/>
            <w:end w:w="35" w:type="dxa"/>
          </w:tcMar>
        </w:tcPr>
        <w:p>
          <w:pPr>
            <w:spacing w:after="0"/>
          </w:pPr>
          <w:r>
            <w:rPr>
              <w:b/>
              <w:color w:val="0B1F3A"/>
              <w:sz w:val="16"/>
            </w:rPr>
            <w:t>RIYAADA Institute for Leadership &amp; Governance</w:t>
          </w:r>
          <w:r>
            <w:rPr>
              <w:sz w:val="14"/>
            </w:rPr>
            <w:br/>
            <w:t>Quality Assurance</w:t>
          </w:r>
        </w:p>
      </w:tc>
      <w:tc>
        <w:tcPr>
          <w:tcW w:type="dxa" w:w="1958"/>
          <w:tcBorders>
            <w:bottom w:sz="8" w:val="single" w:color="D4A72C"/>
          </w:tcBorders>
          <w:tcMar>
            <w:top w:w="35" w:type="dxa"/>
            <w:start w:w="35" w:type="dxa"/>
            <w:bottom w:w="35" w:type="dxa"/>
            <w:end w:w="35" w:type="dxa"/>
          </w:tcMar>
        </w:tcPr>
        <w:p>
          <w:pPr>
            <w:spacing w:after="0"/>
            <w:jc w:val="right"/>
          </w:pPr>
          <w:r>
            <w:rPr>
              <w:b/>
              <w:color w:val="0F8B8D"/>
              <w:sz w:val="15"/>
            </w:rPr>
            <w:t>RIY-QA-POL-003</w:t>
          </w:r>
          <w:r>
            <w:rPr>
              <w:sz w:val="13"/>
            </w:rPr>
            <w:br/>
            <w:t>CONTROLLED</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720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0B1F3A"/>
      <w:sz w:val="36"/>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0B6668"/>
      <w:sz w:val="27"/>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ptos Display" w:hAnsi="Aptos Display"/>
      <w:b/>
      <w:bCs/>
      <w:color w:val="D4A72C"/>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Aptos Display" w:hAnsi="Aptos Display"/>
      <w:b/>
      <w:color w:val="0B1F3A"/>
      <w:spacing w:val="5"/>
      <w:kern w:val="28"/>
      <w:sz w:val="6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60"/>
    </w:pPr>
    <w:rPr>
      <w:rFonts w:asciiTheme="majorHAnsi" w:eastAsiaTheme="majorEastAsia" w:hAnsiTheme="majorHAnsi" w:cstheme="majorBidi" w:ascii="Aptos Display" w:hAnsi="Aptos Display"/>
      <w:b/>
      <w:i/>
      <w:iCs/>
      <w:color w:val="0F8B8D"/>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ptos" w:hAnsi="Aptos"/>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ptos" w:hAnsi="Aptos"/>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IYAADAEyebrow">
    <w:name w:val="RIYAADA Eyebrow"/>
    <w:pPr>
      <w:spacing w:after="80"/>
      <w:jc w:val="left"/>
    </w:pPr>
    <w:rPr>
      <w:rFonts w:ascii="Aptos" w:hAnsi="Aptos"/>
      <w:b/>
      <w:color w:val="D4A72C"/>
      <w:sz w:val="17"/>
    </w:rPr>
  </w:style>
  <w:style w:type="paragraph" w:customStyle="1" w:styleId="RIYAADALead">
    <w:name w:val="RIYAADA Lead"/>
    <w:pPr>
      <w:spacing w:after="80"/>
      <w:jc w:val="left"/>
    </w:pPr>
    <w:rPr>
      <w:rFonts w:ascii="Aptos" w:hAnsi="Aptos"/>
      <w:b w:val="0"/>
      <w:color w:val="5B6777"/>
      <w:sz w:val="24"/>
    </w:rPr>
  </w:style>
  <w:style w:type="paragraph" w:customStyle="1" w:styleId="RIYAADASmall">
    <w:name w:val="RIYAADA Small"/>
    <w:pPr>
      <w:spacing w:after="80"/>
      <w:jc w:val="left"/>
    </w:pPr>
    <w:rPr>
      <w:rFonts w:ascii="Aptos" w:hAnsi="Aptos"/>
      <w:b w:val="0"/>
      <w:color w:val="5B6777"/>
      <w:sz w:val="17"/>
    </w:rPr>
  </w:style>
  <w:style w:type="paragraph" w:customStyle="1" w:styleId="RIYAADAQuote">
    <w:name w:val="RIYAADA Quote"/>
    <w:pPr>
      <w:spacing w:after="80"/>
      <w:jc w:val="center"/>
    </w:pPr>
    <w:rPr>
      <w:rFonts w:ascii="Aptos" w:hAnsi="Aptos"/>
      <w:b w:val="0"/>
      <w:color w:val="163A5F"/>
      <w:sz w:val="22"/>
    </w:rPr>
  </w:style>
  <w:style w:type="paragraph" w:customStyle="1" w:styleId="RIYAADATable">
    <w:name w:val="RIYAADA Table"/>
    <w:pPr>
      <w:spacing w:after="80"/>
      <w:jc w:val="left"/>
    </w:pPr>
    <w:rPr>
      <w:rFonts w:ascii="Aptos" w:hAnsi="Aptos"/>
      <w:b w:val="0"/>
      <w:color w:val="17202A"/>
      <w:sz w:val="18"/>
    </w:rPr>
  </w:style>
  <w:style w:type="table" w:customStyle="1" w:styleId="RIYAADATableGrid">
    <w:name w:val="RIYAADA Table Grid"/>
    <w:rPr>
      <w:rFonts w:ascii="Aptos" w:hAnsi="Aptos"/>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hyperlink" Target="https://www.iso.org/standard/66266.html" TargetMode="External"/><Relationship Id="rId13" Type="http://schemas.openxmlformats.org/officeDocument/2006/relationships/hyperlink" Target="https://www.iso.org/standard/70357.html" TargetMode="External"/><Relationship Id="rId14" Type="http://schemas.openxmlformats.org/officeDocument/2006/relationships/hyperlink" Target="https://www.riyaadaacademy.com" TargetMode="External"/><Relationship Id="rId15" Type="http://schemas.openxmlformats.org/officeDocument/2006/relationships/hyperlink" Target="https://www.riyaadajournals.com/polici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03 RIYAADA Quality Assurance Policy Framework 2026</dc:title>
  <dc:subject>RIYAADA institutional controlled document</dc:subject>
  <dc:creator>RIYAADA Institute for Leadership &amp; Governance</dc:creator>
  <cp:keywords>RIYAADA, leadership, governance, quality assurance, executive education</cp:keywords>
  <dc:description>Controlled draft prepared July 2026. Verify all editable fields before approval.</dc:description>
  <cp:lastModifiedBy/>
  <cp:revision>1</cp:revision>
  <dcterms:created xsi:type="dcterms:W3CDTF">2013-12-23T23:15:00Z</dcterms:created>
  <dcterms:modified xsi:type="dcterms:W3CDTF">2013-12-23T23:15:00Z</dcterms:modified>
  <cp:category/>
</cp:coreProperties>
</file>