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6236208" cy="2157984"/>
            <wp:docPr id="1" name="Picture 1" descr="Image: image2.png"/>
            <wp:cNvGraphicFramePr>
              <a:graphicFrameLocks noChangeAspect="1"/>
            </wp:cNvGraphicFramePr>
            <a:graphic>
              <a:graphicData uri="http://schemas.openxmlformats.org/drawingml/2006/picture">
                <pic:pic>
                  <pic:nvPicPr>
                    <pic:cNvPr id="0" name="cover_banner.png"/>
                    <pic:cNvPicPr/>
                  </pic:nvPicPr>
                  <pic:blipFill>
                    <a:blip r:embed="rId11"/>
                    <a:stretch>
                      <a:fillRect/>
                    </a:stretch>
                  </pic:blipFill>
                  <pic:spPr>
                    <a:xfrm>
                      <a:off x="0" y="0"/>
                      <a:ext cx="6236208" cy="2157984"/>
                    </a:xfrm>
                    <a:prstGeom prst="rect"/>
                  </pic:spPr>
                </pic:pic>
              </a:graphicData>
            </a:graphic>
          </wp:inline>
        </w:drawing>
      </w:r>
    </w:p>
    <w:p>
      <w:pPr>
        <w:pStyle w:val="RIYAADAEyebrow"/>
        <w:jc w:val="center"/>
      </w:pPr>
      <w:r>
        <w:t>RIYAADA INSTITUTIONAL DOCUMENT SERIES</w:t>
      </w:r>
    </w:p>
    <w:p>
      <w:pPr>
        <w:pStyle w:val="Title"/>
        <w:jc w:val="center"/>
      </w:pPr>
      <w:r>
        <w:t>Course Curricula, Syllabi &amp; Learning Outcomes Framework</w:t>
      </w:r>
    </w:p>
    <w:p>
      <w:pPr>
        <w:pStyle w:val="Subtitle"/>
        <w:jc w:val="center"/>
      </w:pPr>
      <w:r>
        <w:t>Design standards, approval templates and programme specifications</w:t>
      </w:r>
    </w:p>
    <w:p>
      <w:pPr>
        <w:jc w:val="center"/>
      </w:pPr>
      <w:r>
        <w:rPr>
          <w:b/>
          <w:color w:val="D4A72C"/>
          <w:sz w:val="24"/>
        </w:rPr>
        <w:t>LEARN. QUALIFY. LEAD.</w:t>
      </w:r>
    </w:p>
    <w:p>
      <w:pPr>
        <w:ind w:left="720" w:right="720"/>
        <w:jc w:val="center"/>
      </w:pPr>
      <w:r>
        <w:rPr>
          <w:i/>
          <w:color w:val="5B6777"/>
          <w:sz w:val="21"/>
        </w:rPr>
        <w:t>A reusable Word framework for designing outcomes-based RIYAADA courses and demonstrating alignment between purpose, learning, assessment and impact.</w:t>
      </w:r>
    </w:p>
    <w:p/>
    <w:tbl>
      <w:tblPr>
        <w:tblW w:type="auto" w:w="0"/>
        <w:jc w:val="center"/>
        <w:tblLayout w:type="fixed"/>
        <w:tblLook w:firstColumn="1" w:firstRow="1" w:lastColumn="0" w:lastRow="0" w:noHBand="0" w:noVBand="1" w:val="04A0"/>
      </w:tblPr>
      <w:tblGrid>
        <w:gridCol w:w="4917"/>
        <w:gridCol w:w="4917"/>
      </w:tblGrid>
      <w:tr>
        <w:tc>
          <w:tcPr>
            <w:tcW w:type="dxa" w:w="3024"/>
            <w:shd w:fill="0B1F3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FFFFFF"/>
                <w:sz w:val="18"/>
              </w:rPr>
              <w:t>Document code</w:t>
            </w:r>
          </w:p>
        </w:tc>
        <w:tc>
          <w:tcPr>
            <w:tcW w:type="dxa" w:w="5544"/>
            <w:shd w:fill="EFF7F8"/>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RIY-ACA-CUR-002</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Version / issue</w:t>
            </w:r>
          </w:p>
        </w:tc>
        <w:tc>
          <w:tcPr>
            <w:tcW w:type="dxa" w:w="5544"/>
            <w:shd w:fill="FFFFFF"/>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Version 1.0 | July 2026</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Status</w:t>
            </w:r>
          </w:p>
        </w:tc>
        <w:tc>
          <w:tcPr>
            <w:tcW w:type="dxa" w:w="5544"/>
            <w:shd w:fill="EFF7F8"/>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Controlled Draft for Institutional Approval</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Owner</w:t>
            </w:r>
          </w:p>
        </w:tc>
        <w:tc>
          <w:tcPr>
            <w:tcW w:type="dxa" w:w="5544"/>
            <w:shd w:fill="FFFFFF"/>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Office of the Dean / Quality Assurance &amp; Standards Unit</w:t>
            </w:r>
          </w:p>
        </w:tc>
      </w:tr>
    </w:tbl>
    <w:p>
      <w:pPr>
        <w:spacing w:before="320"/>
        <w:jc w:val="center"/>
      </w:pPr>
      <w:r>
        <w:rPr>
          <w:b/>
          <w:color w:val="0B1F3A"/>
          <w:sz w:val="22"/>
        </w:rPr>
        <w:t>RIYAADA Institute for Leadership &amp; Governance</w:t>
        <w:br/>
      </w:r>
      <w:r>
        <w:rPr>
          <w:color w:val="5B6777"/>
          <w:sz w:val="17"/>
        </w:rPr>
        <w:t>Abdiaziz District, Via-Bandar Qaasim, Mogadishu, Somalia</w:t>
        <w:br/>
        <w:t>info@riyaadaacademy.com  |  +252 617 596 220</w:t>
      </w:r>
    </w:p>
    <w:p>
      <w:r>
        <w:br w:type="page"/>
      </w:r>
    </w:p>
    <w:p>
      <w:pPr>
        <w:pStyle w:val="Heading1"/>
      </w:pPr>
      <w:r>
        <w:t>Document control</w:t>
      </w: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CONTROLLED DOCUMENT</w:t>
            </w:r>
          </w:p>
          <w:p>
            <w:pPr>
              <w:spacing w:after="0"/>
            </w:pPr>
            <w:r>
              <w:rPr>
                <w:color w:val="17202A"/>
                <w:sz w:val="18"/>
              </w:rPr>
              <w:t>The editable fields in this template must be completed before approval. Printed copies are uncontrolled unless stamped and dated by the Quality Assurance &amp; Standards Unit.</w:t>
            </w:r>
          </w:p>
        </w:tc>
      </w:tr>
    </w:tbl>
    <w:p>
      <w:pPr>
        <w:spacing w:after="0"/>
      </w:pPr>
    </w:p>
    <w:tbl>
      <w:tblPr>
        <w:tblW w:type="auto" w:w="0"/>
        <w:jc w:val="center"/>
        <w:tblLayout w:type="fixed"/>
        <w:tblLook w:firstColumn="1" w:firstRow="1" w:lastColumn="0" w:lastRow="0" w:noHBand="0" w:noVBand="1" w:val="04A0"/>
      </w:tblPr>
      <w:tblGrid>
        <w:gridCol w:w="4917"/>
        <w:gridCol w:w="4917"/>
      </w:tblGrid>
      <w:tr>
        <w:tc>
          <w:tcPr>
            <w:tcW w:type="dxa" w:w="2520"/>
            <w:shd w:fill="0B1F3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FFFFFF"/>
                <w:sz w:val="17"/>
              </w:rPr>
              <w:t>Document title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Course Curricula, Syllabi &amp; Learning Outcomes Framework</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Document code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RIY-ACA-CUR-002</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Policy owner</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Office of the Dean / designated directorate</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Approval authority</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RIYAADA Governing Board / delegated Academic Council</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Version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1.0</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Issue date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July 2026</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Effective date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[DD Month YYYY]</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Review cycle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Annual, or earlier when law, standards, platform architecture or institutional needs change</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Classification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Public institutional document / internal controlled annexes where indicated</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Supersedes</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New document</w:t>
            </w:r>
          </w:p>
        </w:tc>
      </w:tr>
    </w:tbl>
    <w:p>
      <w:pPr>
        <w:pStyle w:val="Heading2"/>
      </w:pPr>
      <w:r>
        <w:t>Approval and sign-off</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237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Role</w:t>
            </w:r>
          </w:p>
        </w:tc>
        <w:tc>
          <w:tcPr>
            <w:tcW w:type="dxa" w:w="324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Name</w:t>
            </w:r>
          </w:p>
        </w:tc>
        <w:tc>
          <w:tcPr>
            <w:tcW w:type="dxa" w:w="201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Signature</w:t>
            </w:r>
          </w:p>
        </w:tc>
        <w:tc>
          <w:tcPr>
            <w:tcW w:type="dxa" w:w="187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Date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Prepared by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[Name / title]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Quality review</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Director, Student Affairs, Certification &amp; Quality Assurance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Academic endorsement</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Dean of the Academy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Institutional approval</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Founder &amp; Chairman / Governing Board</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bl>
    <w:p>
      <w:pPr>
        <w:spacing w:after="0"/>
      </w:pPr>
    </w:p>
    <w:p>
      <w:pPr>
        <w:pStyle w:val="Heading2"/>
      </w:pPr>
      <w:r>
        <w:t>Revision history</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115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Version</w:t>
            </w:r>
          </w:p>
        </w:tc>
        <w:tc>
          <w:tcPr>
            <w:tcW w:type="dxa" w:w="158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Date</w:t>
            </w:r>
          </w:p>
        </w:tc>
        <w:tc>
          <w:tcPr>
            <w:tcW w:type="dxa" w:w="51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Summary of change</w:t>
            </w:r>
          </w:p>
        </w:tc>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Approved by</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1.0</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July 2026</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First controlled institutional edition</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[Pending]</w:t>
            </w:r>
          </w:p>
        </w:tc>
      </w:tr>
    </w:tbl>
    <w:p>
      <w:pPr>
        <w:spacing w:after="0"/>
      </w:pPr>
    </w:p>
    <w:p>
      <w:r>
        <w:br w:type="page"/>
      </w:r>
    </w:p>
    <w:p>
      <w:pPr>
        <w:pStyle w:val="Heading1"/>
      </w:pPr>
      <w:r>
        <w:t>Purpose and application</w:t>
      </w:r>
    </w:p>
    <w:p>
      <w:r>
        <w:t>This framework governs the design, approval, delivery, review and retirement of RIYAADA academic and professional programmes. It enables faculty and programme teams to create consistent specifications while preserving subject-matter innovation and context-specific delivery.</w:t>
      </w:r>
    </w:p>
    <w:tbl>
      <w:tblPr>
        <w:tblW w:type="auto" w:w="0"/>
        <w:jc w:val="center"/>
        <w:tblLayout w:type="fixed"/>
        <w:tblLook w:firstColumn="1" w:firstRow="1" w:lastColumn="0" w:lastRow="0" w:noHBand="0" w:noVBand="1" w:val="04A0"/>
      </w:tblPr>
      <w:tblGrid>
        <w:gridCol w:w="4917"/>
        <w:gridCol w:w="4917"/>
      </w:tblGrid>
      <w:tr>
        <w:tc>
          <w:tcPr>
            <w:tcW w:type="dxa" w:w="187"/>
            <w:shd w:fill="A23E48"/>
            <w:tcMar>
              <w:top w:w="90" w:type="dxa"/>
              <w:start w:w="100" w:type="dxa"/>
              <w:bottom w:w="90" w:type="dxa"/>
              <w:end w:w="100" w:type="dxa"/>
            </w:tcMar>
          </w:tcPr>
          <w:p/>
        </w:tc>
        <w:tc>
          <w:tcPr>
            <w:tcW w:type="dxa" w:w="9288"/>
            <w:shd w:fill="FCEDEF"/>
            <w:tcMar>
              <w:top w:w="90" w:type="dxa"/>
              <w:start w:w="100" w:type="dxa"/>
              <w:bottom w:w="90" w:type="dxa"/>
              <w:end w:w="100" w:type="dxa"/>
            </w:tcMar>
          </w:tcPr>
          <w:p>
            <w:pPr>
              <w:spacing w:after="40"/>
            </w:pPr>
            <w:r>
              <w:rPr>
                <w:b/>
                <w:color w:val="A23E48"/>
                <w:sz w:val="18"/>
              </w:rPr>
              <w:t>DESIGN RULE</w:t>
            </w:r>
          </w:p>
          <w:p>
            <w:pPr>
              <w:spacing w:after="0"/>
            </w:pPr>
            <w:r>
              <w:rPr>
                <w:color w:val="17202A"/>
                <w:sz w:val="18"/>
              </w:rPr>
              <w:t>No course may be advertised or delivered until its learning outcomes, curriculum map, assessment plan, faculty requirements, resources, learner workload, quality controls and approval reference are documented.</w:t>
            </w:r>
          </w:p>
        </w:tc>
      </w:tr>
    </w:tbl>
    <w:p>
      <w:pPr>
        <w:spacing w:after="0"/>
      </w:pPr>
    </w:p>
    <w:p>
      <w:pPr>
        <w:pStyle w:val="Heading1"/>
      </w:pPr>
      <w:r>
        <w:t>Outcomes-based curriculum architecture</w:t>
      </w:r>
    </w:p>
    <w:tbl>
      <w:tblPr>
        <w:tblW w:type="auto" w:w="0"/>
        <w:jc w:val="center"/>
        <w:tblLayout w:type="fixed"/>
        <w:tblLook w:firstColumn="1" w:firstRow="1" w:lastColumn="0" w:lastRow="0" w:noHBand="0" w:noVBand="1" w:val="04A0"/>
      </w:tblPr>
      <w:tblGrid>
        <w:gridCol w:w="1639"/>
        <w:gridCol w:w="1639"/>
        <w:gridCol w:w="1639"/>
        <w:gridCol w:w="1639"/>
        <w:gridCol w:w="1639"/>
        <w:gridCol w:w="1639"/>
      </w:tblGrid>
      <w:tr>
        <w:tc>
          <w:tcPr>
            <w:tcW w:type="dxa" w:w="1579"/>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1</w:t>
            </w:r>
          </w:p>
          <w:p>
            <w:pPr>
              <w:spacing w:after="40"/>
              <w:jc w:val="center"/>
            </w:pPr>
            <w:r>
              <w:rPr>
                <w:b/>
                <w:color w:val="0B1F3A"/>
                <w:sz w:val="17"/>
              </w:rPr>
              <w:t>Need</w:t>
            </w:r>
          </w:p>
          <w:p>
            <w:pPr>
              <w:spacing w:after="0"/>
              <w:jc w:val="center"/>
            </w:pPr>
            <w:r>
              <w:rPr>
                <w:color w:val="5B6777"/>
                <w:sz w:val="14"/>
              </w:rPr>
              <w:t>Stakeholder and capability analysis</w:t>
            </w:r>
          </w:p>
        </w:tc>
        <w:tc>
          <w:tcPr>
            <w:tcW w:type="dxa" w:w="1579"/>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2</w:t>
            </w:r>
          </w:p>
          <w:p>
            <w:pPr>
              <w:spacing w:after="40"/>
              <w:jc w:val="center"/>
            </w:pPr>
            <w:r>
              <w:rPr>
                <w:b/>
                <w:color w:val="0B1F3A"/>
                <w:sz w:val="17"/>
              </w:rPr>
              <w:t>Purpose</w:t>
            </w:r>
          </w:p>
          <w:p>
            <w:pPr>
              <w:spacing w:after="0"/>
              <w:jc w:val="center"/>
            </w:pPr>
            <w:r>
              <w:rPr>
                <w:color w:val="5B6777"/>
                <w:sz w:val="14"/>
              </w:rPr>
              <w:t>Programme rationale and target group</w:t>
            </w:r>
          </w:p>
        </w:tc>
        <w:tc>
          <w:tcPr>
            <w:tcW w:type="dxa" w:w="1579"/>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3</w:t>
            </w:r>
          </w:p>
          <w:p>
            <w:pPr>
              <w:spacing w:after="40"/>
              <w:jc w:val="center"/>
            </w:pPr>
            <w:r>
              <w:rPr>
                <w:b/>
                <w:color w:val="0B1F3A"/>
                <w:sz w:val="17"/>
              </w:rPr>
              <w:t>Outcomes</w:t>
            </w:r>
          </w:p>
          <w:p>
            <w:pPr>
              <w:spacing w:after="0"/>
              <w:jc w:val="center"/>
            </w:pPr>
            <w:r>
              <w:rPr>
                <w:color w:val="5B6777"/>
                <w:sz w:val="14"/>
              </w:rPr>
              <w:t>Observable learner achievement</w:t>
            </w:r>
          </w:p>
        </w:tc>
        <w:tc>
          <w:tcPr>
            <w:tcW w:type="dxa" w:w="1579"/>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4</w:t>
            </w:r>
          </w:p>
          <w:p>
            <w:pPr>
              <w:spacing w:after="40"/>
              <w:jc w:val="center"/>
            </w:pPr>
            <w:r>
              <w:rPr>
                <w:b/>
                <w:color w:val="0B1F3A"/>
                <w:sz w:val="17"/>
              </w:rPr>
              <w:t>Learning</w:t>
            </w:r>
          </w:p>
          <w:p>
            <w:pPr>
              <w:spacing w:after="0"/>
              <w:jc w:val="center"/>
            </w:pPr>
            <w:r>
              <w:rPr>
                <w:color w:val="5B6777"/>
                <w:sz w:val="14"/>
              </w:rPr>
              <w:t>Activities and resources</w:t>
            </w:r>
          </w:p>
        </w:tc>
        <w:tc>
          <w:tcPr>
            <w:tcW w:type="dxa" w:w="1579"/>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5</w:t>
            </w:r>
          </w:p>
          <w:p>
            <w:pPr>
              <w:spacing w:after="40"/>
              <w:jc w:val="center"/>
            </w:pPr>
            <w:r>
              <w:rPr>
                <w:b/>
                <w:color w:val="0B1F3A"/>
                <w:sz w:val="17"/>
              </w:rPr>
              <w:t>Assessment</w:t>
            </w:r>
          </w:p>
          <w:p>
            <w:pPr>
              <w:spacing w:after="0"/>
              <w:jc w:val="center"/>
            </w:pPr>
            <w:r>
              <w:rPr>
                <w:color w:val="5B6777"/>
                <w:sz w:val="14"/>
              </w:rPr>
              <w:t>Valid evidence and rubrics</w:t>
            </w:r>
          </w:p>
        </w:tc>
        <w:tc>
          <w:tcPr>
            <w:tcW w:type="dxa" w:w="1579"/>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6</w:t>
            </w:r>
          </w:p>
          <w:p>
            <w:pPr>
              <w:spacing w:after="40"/>
              <w:jc w:val="center"/>
            </w:pPr>
            <w:r>
              <w:rPr>
                <w:b/>
                <w:color w:val="0B1F3A"/>
                <w:sz w:val="17"/>
              </w:rPr>
              <w:t>Impact</w:t>
            </w:r>
          </w:p>
          <w:p>
            <w:pPr>
              <w:spacing w:after="0"/>
              <w:jc w:val="center"/>
            </w:pPr>
            <w:r>
              <w:rPr>
                <w:color w:val="5B6777"/>
                <w:sz w:val="14"/>
              </w:rPr>
              <w:t>Application and review</w:t>
            </w:r>
          </w:p>
        </w:tc>
      </w:tr>
    </w:tbl>
    <w:p>
      <w:pPr>
        <w:pStyle w:val="Heading2"/>
      </w:pPr>
      <w:r>
        <w:t>Learning-outcome standard</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144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Element</w:t>
            </w:r>
          </w:p>
        </w:tc>
        <w:tc>
          <w:tcPr>
            <w:tcW w:type="dxa" w:w="360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Required test</w:t>
            </w:r>
          </w:p>
        </w:tc>
        <w:tc>
          <w:tcPr>
            <w:tcW w:type="dxa" w:w="4435"/>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Good example</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Audience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Who performs?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By the end of the programme, participants will…</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Action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Is the verb observable and assessable?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diagnose, design, evaluate, facilitate, justify</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Content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What knowledge or capability is applied?</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an institutional governance problem</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Condition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Under what context or constraint?</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using evidence and stakeholder data</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Standard</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How well must it be performed?</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to an approved rubric and implementation standard</w:t>
            </w:r>
          </w:p>
        </w:tc>
      </w:tr>
    </w:tbl>
    <w:p>
      <w:pPr>
        <w:spacing w:after="0"/>
      </w:pPr>
    </w:p>
    <w:p>
      <w:pPr>
        <w:pStyle w:val="Heading2"/>
      </w:pPr>
      <w:r>
        <w:t>RIYAADA graduate capability domains</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237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Domain</w:t>
            </w:r>
          </w:p>
        </w:tc>
        <w:tc>
          <w:tcPr>
            <w:tcW w:type="dxa" w:w="7099"/>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Indicative capability</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Purposeful leadership</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Direction, ethics, public value and strategic judgement.</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Institutional governance</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Mandates, accountability, policy, risk and oversight.</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Management excellence</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People, finance, operations, performance and delivery.</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Evidence and learning</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Research literacy, data use, reflection and improvement.</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Communication and influence</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Executive communication, negotiation, facilitation and stakeholder engagement.</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Innovation and transformation</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Systems thinking, digital opportunity, reform design and implementation.</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Context and inclusion</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Fragility awareness, equity, gender, accessibility and cultural competence.</w:t>
            </w:r>
          </w:p>
        </w:tc>
      </w:tr>
    </w:tbl>
    <w:p>
      <w:pPr>
        <w:spacing w:after="0"/>
      </w:pPr>
    </w:p>
    <w:p>
      <w:pPr>
        <w:pStyle w:val="Heading1"/>
      </w:pPr>
      <w:r>
        <w:t>Master programme specification template</w:t>
      </w:r>
    </w:p>
    <w:p>
      <w:pPr>
        <w:spacing w:after="40"/>
      </w:pPr>
      <w:r>
        <w:rPr>
          <w:b/>
          <w:color w:val="0B1F3A"/>
        </w:rPr>
        <w:t>Programme title and code</w:t>
      </w:r>
      <w:r>
        <w:rPr>
          <w:i/>
          <w:color w:val="5B6777"/>
          <w:sz w:val="16"/>
        </w:rPr>
        <w:t xml:space="preserve">  Use the controlled programme register.</w:t>
      </w:r>
    </w:p>
    <w:p>
      <w:pPr>
        <w:spacing w:after="40"/>
      </w:pPr>
      <w:r>
        <w:rPr>
          <w:color w:val="D9E2EC"/>
        </w:rPr>
        <w:t>________________________________________________________________________________</w:t>
      </w:r>
    </w:p>
    <w:p>
      <w:pPr>
        <w:spacing w:after="40"/>
      </w:pPr>
      <w:r>
        <w:rPr>
          <w:b/>
          <w:color w:val="0B1F3A"/>
        </w:rPr>
        <w:t>Award and level</w:t>
      </w:r>
      <w:r>
        <w:rPr>
          <w:i/>
          <w:color w:val="5B6777"/>
          <w:sz w:val="16"/>
        </w:rPr>
        <w:t xml:space="preserve">  State the exact approved award.</w:t>
      </w:r>
    </w:p>
    <w:p>
      <w:pPr>
        <w:spacing w:after="40"/>
      </w:pPr>
      <w:r>
        <w:rPr>
          <w:color w:val="D9E2EC"/>
        </w:rPr>
        <w:t>________________________________________________________________________________</w:t>
      </w:r>
    </w:p>
    <w:p>
      <w:pPr>
        <w:spacing w:after="40"/>
      </w:pPr>
      <w:r>
        <w:rPr>
          <w:b/>
          <w:color w:val="0B1F3A"/>
        </w:rPr>
        <w:t>Programme owner and faculty lead</w:t>
      </w:r>
      <w:r>
        <w:rPr>
          <w:i/>
          <w:color w:val="5B6777"/>
          <w:sz w:val="16"/>
        </w:rPr>
        <w:t xml:space="preserve">  Identify accountable roles.</w:t>
      </w:r>
    </w:p>
    <w:p>
      <w:pPr>
        <w:spacing w:after="40"/>
      </w:pPr>
      <w:r>
        <w:rPr>
          <w:color w:val="D9E2EC"/>
        </w:rPr>
        <w:t>________________________________________________________________________________</w:t>
      </w:r>
    </w:p>
    <w:p>
      <w:pPr>
        <w:spacing w:after="40"/>
      </w:pPr>
      <w:r>
        <w:rPr>
          <w:b/>
          <w:color w:val="0B1F3A"/>
        </w:rPr>
        <w:t>Rationale and needs evidence</w:t>
      </w:r>
      <w:r>
        <w:rPr>
          <w:i/>
          <w:color w:val="5B6777"/>
          <w:sz w:val="16"/>
        </w:rPr>
        <w:t xml:space="preserve">  Reference stakeholder, labour-market or institutional need.</w:t>
      </w:r>
    </w:p>
    <w:p>
      <w:pPr>
        <w:spacing w:after="40"/>
      </w:pPr>
      <w:r>
        <w:rPr>
          <w:color w:val="D9E2EC"/>
        </w:rPr>
        <w:t>________________________________________________________________________________</w:t>
      </w:r>
    </w:p>
    <w:p>
      <w:pPr>
        <w:spacing w:after="40"/>
      </w:pPr>
      <w:r>
        <w:rPr>
          <w:b/>
          <w:color w:val="0B1F3A"/>
        </w:rPr>
        <w:t>Target participants and prerequisites</w:t>
      </w:r>
      <w:r>
        <w:rPr>
          <w:i/>
          <w:color w:val="5B6777"/>
          <w:sz w:val="16"/>
        </w:rPr>
        <w:t xml:space="preserve">  Specify qualifications, experience, language and technology requirements.</w:t>
      </w:r>
    </w:p>
    <w:p>
      <w:pPr>
        <w:spacing w:after="40"/>
      </w:pPr>
      <w:r>
        <w:rPr>
          <w:color w:val="D9E2EC"/>
        </w:rPr>
        <w:t>________________________________________________________________________________</w:t>
      </w:r>
    </w:p>
    <w:p>
      <w:pPr>
        <w:spacing w:after="40"/>
      </w:pPr>
      <w:r>
        <w:rPr>
          <w:b/>
          <w:color w:val="0B1F3A"/>
        </w:rPr>
        <w:t>Duration, learning hours, mode and schedule</w:t>
      </w:r>
      <w:r>
        <w:rPr>
          <w:i/>
          <w:color w:val="5B6777"/>
          <w:sz w:val="16"/>
        </w:rPr>
        <w:t xml:space="preserve">  Separate contact, guided and independent learning.</w:t>
      </w:r>
    </w:p>
    <w:p>
      <w:pPr>
        <w:spacing w:after="40"/>
      </w:pPr>
      <w:r>
        <w:rPr>
          <w:color w:val="D9E2EC"/>
        </w:rPr>
        <w:t>________________________________________________________________________________</w:t>
      </w:r>
    </w:p>
    <w:p>
      <w:pPr>
        <w:spacing w:after="40"/>
      </w:pPr>
      <w:r>
        <w:rPr>
          <w:b/>
          <w:color w:val="0B1F3A"/>
        </w:rPr>
        <w:t>Programme learning outcomes</w:t>
      </w:r>
      <w:r>
        <w:rPr>
          <w:i/>
          <w:color w:val="5B6777"/>
          <w:sz w:val="16"/>
        </w:rPr>
        <w:t xml:space="preserve">  Use 4–8 assessable outcomes.</w:t>
      </w:r>
    </w:p>
    <w:p>
      <w:pPr>
        <w:spacing w:after="40"/>
      </w:pPr>
      <w:r>
        <w:rPr>
          <w:color w:val="D9E2EC"/>
        </w:rPr>
        <w:t>________________________________________________________________________________</w:t>
      </w:r>
    </w:p>
    <w:p>
      <w:pPr>
        <w:spacing w:after="40"/>
      </w:pPr>
      <w:r>
        <w:rPr>
          <w:b/>
          <w:color w:val="0B1F3A"/>
        </w:rPr>
        <w:t>Module structure and sequence</w:t>
      </w:r>
      <w:r>
        <w:rPr>
          <w:i/>
          <w:color w:val="5B6777"/>
          <w:sz w:val="16"/>
        </w:rPr>
        <w:t xml:space="preserve">  Show prerequisites and progression.</w:t>
      </w:r>
    </w:p>
    <w:p>
      <w:pPr>
        <w:spacing w:after="40"/>
      </w:pPr>
      <w:r>
        <w:rPr>
          <w:color w:val="D9E2EC"/>
        </w:rPr>
        <w:t>________________________________________________________________________________</w:t>
      </w:r>
    </w:p>
    <w:p>
      <w:pPr>
        <w:spacing w:after="40"/>
      </w:pPr>
      <w:r>
        <w:rPr>
          <w:b/>
          <w:color w:val="0B1F3A"/>
        </w:rPr>
        <w:t>Learning and teaching strategy</w:t>
      </w:r>
      <w:r>
        <w:rPr>
          <w:i/>
          <w:color w:val="5B6777"/>
          <w:sz w:val="16"/>
        </w:rPr>
        <w:t xml:space="preserve">  Include active, applied and inclusive learning.</w:t>
      </w:r>
    </w:p>
    <w:p>
      <w:pPr>
        <w:spacing w:after="40"/>
      </w:pPr>
      <w:r>
        <w:rPr>
          <w:color w:val="D9E2EC"/>
        </w:rPr>
        <w:t>________________________________________________________________________________</w:t>
      </w:r>
    </w:p>
    <w:p>
      <w:pPr>
        <w:spacing w:after="40"/>
      </w:pPr>
      <w:r>
        <w:rPr>
          <w:b/>
          <w:color w:val="0B1F3A"/>
        </w:rPr>
        <w:t>Assessment and moderation plan</w:t>
      </w:r>
      <w:r>
        <w:rPr>
          <w:i/>
          <w:color w:val="5B6777"/>
          <w:sz w:val="16"/>
        </w:rPr>
        <w:t xml:space="preserve">  Show validity, weightings, rubrics, pass rules and reassessment.</w:t>
      </w:r>
    </w:p>
    <w:p>
      <w:pPr>
        <w:spacing w:after="40"/>
      </w:pPr>
      <w:r>
        <w:rPr>
          <w:color w:val="D9E2EC"/>
        </w:rPr>
        <w:t>________________________________________________________________________________</w:t>
      </w:r>
    </w:p>
    <w:p>
      <w:pPr>
        <w:spacing w:after="40"/>
      </w:pPr>
      <w:r>
        <w:rPr>
          <w:b/>
          <w:color w:val="0B1F3A"/>
        </w:rPr>
        <w:t>Resources, staffing and risk controls</w:t>
      </w:r>
      <w:r>
        <w:rPr>
          <w:i/>
          <w:color w:val="5B6777"/>
          <w:sz w:val="16"/>
        </w:rPr>
        <w:t xml:space="preserve">  Confirm feasibility before approval.</w:t>
      </w:r>
    </w:p>
    <w:p>
      <w:pPr>
        <w:spacing w:after="40"/>
      </w:pPr>
      <w:r>
        <w:rPr>
          <w:color w:val="D9E2EC"/>
        </w:rPr>
        <w:t>________________________________________________________________________________</w:t>
      </w:r>
    </w:p>
    <w:p>
      <w:pPr>
        <w:spacing w:after="40"/>
      </w:pPr>
      <w:r>
        <w:rPr>
          <w:b/>
          <w:color w:val="0B1F3A"/>
        </w:rPr>
        <w:t>Quality indicators and review date</w:t>
      </w:r>
      <w:r>
        <w:rPr>
          <w:i/>
          <w:color w:val="5B6777"/>
          <w:sz w:val="16"/>
        </w:rPr>
        <w:t xml:space="preserve">  Define completion, satisfaction, achievement, equity and impact measures.</w:t>
      </w:r>
    </w:p>
    <w:p>
      <w:pPr>
        <w:spacing w:after="40"/>
      </w:pPr>
      <w:r>
        <w:rPr>
          <w:color w:val="D9E2EC"/>
        </w:rPr>
        <w:t>________________________________________________________________________________</w:t>
      </w:r>
    </w:p>
    <w:p>
      <w:r>
        <w:br w:type="page"/>
      </w:r>
    </w:p>
    <w:p>
      <w:pPr>
        <w:pStyle w:val="Heading1"/>
      </w:pPr>
      <w:r>
        <w:t>Module syllabus template</w:t>
      </w:r>
    </w:p>
    <w:tbl>
      <w:tblPr>
        <w:tblW w:type="auto" w:w="0"/>
        <w:jc w:val="center"/>
        <w:tblLayout w:type="fixed"/>
        <w:tblLook w:firstColumn="1" w:firstRow="1" w:lastColumn="0" w:lastRow="0" w:noHBand="0" w:noVBand="1" w:val="04A0"/>
      </w:tblPr>
      <w:tblGrid>
        <w:gridCol w:w="4917"/>
        <w:gridCol w:w="4917"/>
      </w:tblGrid>
      <w:tr>
        <w:tc>
          <w:tcPr>
            <w:tcW w:type="dxa" w:w="2520"/>
            <w:shd w:fill="0B1F3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FFFFFF"/>
                <w:sz w:val="17"/>
              </w:rPr>
              <w:t>Programme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[Programme title / code]</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Module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[Module number and title]</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Module lead</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[Name / approved faculty reference]</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Learning hours</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[Contact / guided / independent]</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Delivery dates</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[Dates / cohort]</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Prerequisites</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[None / specify]</w:t>
            </w:r>
          </w:p>
        </w:tc>
      </w:tr>
    </w:tbl>
    <w:p>
      <w:pPr>
        <w:spacing w:after="40"/>
      </w:pPr>
      <w:r>
        <w:rPr>
          <w:b/>
          <w:color w:val="0B1F3A"/>
        </w:rPr>
        <w:t>Module purpose</w:t>
      </w:r>
    </w:p>
    <w:p>
      <w:pPr>
        <w:spacing w:after="40"/>
      </w:pPr>
      <w:r>
        <w:rPr>
          <w:color w:val="D9E2EC"/>
        </w:rPr>
        <w:t>________________________________________________________________________________</w:t>
      </w:r>
    </w:p>
    <w:p>
      <w:pPr>
        <w:spacing w:after="40"/>
      </w:pPr>
      <w:r>
        <w:rPr>
          <w:color w:val="D9E2EC"/>
        </w:rPr>
        <w:t>________________________________________________________________________________</w:t>
      </w:r>
    </w:p>
    <w:p>
      <w:pPr>
        <w:spacing w:after="40"/>
      </w:pPr>
      <w:r>
        <w:rPr>
          <w:b/>
          <w:color w:val="0B1F3A"/>
        </w:rPr>
        <w:t>Module learning outcomes</w:t>
      </w:r>
      <w:r>
        <w:rPr>
          <w:i/>
          <w:color w:val="5B6777"/>
          <w:sz w:val="16"/>
        </w:rPr>
        <w:t xml:space="preserve">  Number and map each outcome to programme outcomes.</w:t>
      </w:r>
    </w:p>
    <w:p>
      <w:pPr>
        <w:spacing w:after="40"/>
      </w:pPr>
      <w:r>
        <w:rPr>
          <w:color w:val="D9E2EC"/>
        </w:rPr>
        <w:t>________________________________________________________________________________</w:t>
      </w:r>
    </w:p>
    <w:p>
      <w:pPr>
        <w:spacing w:after="40"/>
      </w:pPr>
      <w:r>
        <w:rPr>
          <w:color w:val="D9E2EC"/>
        </w:rPr>
        <w:t>________________________________________________________________________________</w:t>
      </w:r>
    </w:p>
    <w:p>
      <w:pPr>
        <w:spacing w:after="40"/>
      </w:pPr>
      <w:r>
        <w:rPr>
          <w:color w:val="D9E2EC"/>
        </w:rPr>
        <w:t>________________________________________________________________________________</w:t>
      </w:r>
    </w:p>
    <w:p>
      <w:pPr>
        <w:spacing w:after="40"/>
      </w:pPr>
      <w:r>
        <w:rPr>
          <w:color w:val="D9E2EC"/>
        </w:rPr>
        <w:t>________________________________________________________________________________</w:t>
      </w:r>
    </w:p>
    <w:tbl>
      <w:tblPr>
        <w:tblW w:type="auto" w:w="0"/>
        <w:jc w:val="center"/>
        <w:tblLayout w:type="fixed"/>
        <w:tblLook w:firstColumn="1" w:firstRow="1" w:lastColumn="0" w:lastRow="0" w:noHBand="0" w:noVBand="1" w:val="04A0"/>
      </w:tblPr>
      <w:tblGrid>
        <w:gridCol w:w="1967"/>
        <w:gridCol w:w="1967"/>
        <w:gridCol w:w="1967"/>
        <w:gridCol w:w="1967"/>
        <w:gridCol w:w="1967"/>
      </w:tblGrid>
      <w:tr>
        <w:trPr>
          <w:tblHeader w:val="true"/>
        </w:trPr>
        <w:tc>
          <w:tcPr>
            <w:tcW w:type="dxa" w:w="69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Session</w:t>
            </w:r>
          </w:p>
        </w:tc>
        <w:tc>
          <w:tcPr>
            <w:tcW w:type="dxa" w:w="2405"/>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Topic and key questions</w:t>
            </w:r>
          </w:p>
        </w:tc>
        <w:tc>
          <w:tcPr>
            <w:tcW w:type="dxa" w:w="216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Learning activities</w:t>
            </w:r>
          </w:p>
        </w:tc>
        <w:tc>
          <w:tcPr>
            <w:tcW w:type="dxa" w:w="223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Required preparation/resources</w:t>
            </w:r>
          </w:p>
        </w:tc>
        <w:tc>
          <w:tcPr>
            <w:tcW w:type="dxa" w:w="1987"/>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Evidence / follow-up</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1</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2</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3</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4</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5</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6</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w:t>
            </w:r>
          </w:p>
        </w:tc>
      </w:tr>
    </w:tbl>
    <w:p>
      <w:pPr>
        <w:spacing w:after="0"/>
      </w:pPr>
    </w:p>
    <w:p>
      <w:pPr>
        <w:pStyle w:val="Heading2"/>
      </w:pPr>
      <w:r>
        <w:t>Assessment brief template</w:t>
      </w:r>
    </w:p>
    <w:tbl>
      <w:tblPr>
        <w:tblW w:type="auto" w:w="0"/>
        <w:jc w:val="center"/>
        <w:tblLayout w:type="fixed"/>
        <w:tblLook w:firstColumn="1" w:firstRow="1" w:lastColumn="0" w:lastRow="0" w:noHBand="0" w:noVBand="1" w:val="04A0"/>
      </w:tblPr>
      <w:tblGrid>
        <w:gridCol w:w="4917"/>
        <w:gridCol w:w="4917"/>
      </w:tblGrid>
      <w:tr>
        <w:tc>
          <w:tcPr>
            <w:tcW w:type="dxa" w:w="2520"/>
            <w:shd w:fill="0B1F3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FFFFFF"/>
                <w:sz w:val="17"/>
              </w:rPr>
              <w:t>Assessment title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[Insert]</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Mapped outcomes</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[PLO / MLO]</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Weighting</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[__%]</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Submission format</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[Report / presentation / portfolio / simulation]</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Due date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[Insert]</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Word/time limit</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[Insert]</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Academic integrity requirements</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Original work, declared sources and AI-use disclosure where permitted.</w:t>
            </w:r>
          </w:p>
        </w:tc>
      </w:tr>
    </w:tbl>
    <w:p>
      <w:pPr>
        <w:spacing w:after="40"/>
      </w:pPr>
      <w:r>
        <w:rPr>
          <w:b/>
          <w:color w:val="0B1F3A"/>
        </w:rPr>
        <w:t>Task and professional context</w:t>
      </w:r>
    </w:p>
    <w:p>
      <w:pPr>
        <w:spacing w:after="40"/>
      </w:pPr>
      <w:r>
        <w:rPr>
          <w:color w:val="D9E2EC"/>
        </w:rPr>
        <w:t>________________________________________________________________________________</w:t>
      </w:r>
    </w:p>
    <w:p>
      <w:pPr>
        <w:spacing w:after="40"/>
      </w:pPr>
      <w:r>
        <w:rPr>
          <w:color w:val="D9E2EC"/>
        </w:rPr>
        <w:t>________________________________________________________________________________</w:t>
      </w:r>
    </w:p>
    <w:p>
      <w:pPr>
        <w:spacing w:after="40"/>
      </w:pPr>
      <w:r>
        <w:rPr>
          <w:color w:val="D9E2EC"/>
        </w:rPr>
        <w:t>________________________________________________________________________________</w:t>
      </w:r>
    </w:p>
    <w:p>
      <w:pPr>
        <w:spacing w:after="40"/>
      </w:pPr>
      <w:r>
        <w:rPr>
          <w:b/>
          <w:color w:val="0B1F3A"/>
        </w:rPr>
        <w:t>Required evidence and submission instructions</w:t>
      </w:r>
    </w:p>
    <w:p>
      <w:pPr>
        <w:spacing w:after="40"/>
      </w:pPr>
      <w:r>
        <w:rPr>
          <w:color w:val="D9E2EC"/>
        </w:rPr>
        <w:t>________________________________________________________________________________</w:t>
      </w:r>
    </w:p>
    <w:p>
      <w:pPr>
        <w:spacing w:after="40"/>
      </w:pPr>
      <w:r>
        <w:rPr>
          <w:color w:val="D9E2EC"/>
        </w:rPr>
        <w:t>________________________________________________________________________________</w:t>
      </w:r>
    </w:p>
    <w:p>
      <w:pPr>
        <w:spacing w:after="40"/>
      </w:pPr>
      <w:r>
        <w:rPr>
          <w:color w:val="D9E2EC"/>
        </w:rPr>
        <w:t>________________________________________________________________________________</w:t>
      </w:r>
    </w:p>
    <w:p>
      <w:pPr>
        <w:pStyle w:val="Heading3"/>
      </w:pPr>
      <w:r>
        <w:t>Analytic rubric template</w:t>
      </w:r>
    </w:p>
    <w:tbl>
      <w:tblPr>
        <w:tblW w:type="auto" w:w="0"/>
        <w:jc w:val="center"/>
        <w:tblLayout w:type="fixed"/>
        <w:tblLook w:firstColumn="1" w:firstRow="1" w:lastColumn="0" w:lastRow="0" w:noHBand="0" w:noVBand="1" w:val="04A0"/>
      </w:tblPr>
      <w:tblGrid>
        <w:gridCol w:w="1639"/>
        <w:gridCol w:w="1639"/>
        <w:gridCol w:w="1639"/>
        <w:gridCol w:w="1639"/>
        <w:gridCol w:w="1639"/>
        <w:gridCol w:w="1639"/>
      </w:tblGrid>
      <w:tr>
        <w:trPr>
          <w:tblHeader w:val="true"/>
        </w:trPr>
        <w:tc>
          <w:tcPr>
            <w:tcW w:type="dxa" w:w="165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Criterion</w:t>
            </w:r>
          </w:p>
        </w:tc>
        <w:tc>
          <w:tcPr>
            <w:tcW w:type="dxa" w:w="80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Weight</w:t>
            </w:r>
          </w:p>
        </w:tc>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Exemplary</w:t>
            </w:r>
          </w:p>
        </w:tc>
        <w:tc>
          <w:tcPr>
            <w:tcW w:type="dxa" w:w="180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Proficient</w:t>
            </w:r>
          </w:p>
        </w:tc>
        <w:tc>
          <w:tcPr>
            <w:tcW w:type="dxa" w:w="165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Developing</w:t>
            </w:r>
          </w:p>
        </w:tc>
        <w:tc>
          <w:tcPr>
            <w:tcW w:type="dxa" w:w="1613"/>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Not yet achieved</w:t>
            </w:r>
          </w:p>
        </w:tc>
      </w:tr>
      <w:tr>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[Criterion 1]</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[__%]</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Clear, authoritative evidence</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Meets expected standard</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Partial / inconsistent</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Insufficient evidence</w:t>
            </w:r>
          </w:p>
        </w:tc>
      </w:tr>
      <w:tr>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[Criterion 2]</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[__%]</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Clear, authoritative evidence</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Meets expected standard</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Partial / inconsistent</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Insufficient evidence</w:t>
            </w:r>
          </w:p>
        </w:tc>
      </w:tr>
      <w:tr>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[Criterion 3]</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[__%]</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Clear, authoritative evidence</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Meets expected standard</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Partial / inconsistent</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Insufficient evidence</w:t>
            </w:r>
          </w:p>
        </w:tc>
      </w:tr>
      <w:tr>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[Criterion 4]</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[__%]</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Clear, authoritative evidence</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Meets expected standard</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Partial / inconsistent</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Insufficient evidence</w:t>
            </w:r>
          </w:p>
        </w:tc>
      </w:tr>
    </w:tbl>
    <w:p>
      <w:pPr>
        <w:spacing w:after="0"/>
      </w:pPr>
    </w:p>
    <w:p>
      <w:pPr>
        <w:pStyle w:val="Heading1"/>
      </w:pPr>
      <w:r>
        <w:t>Approval gates</w:t>
      </w:r>
    </w:p>
    <w:tbl>
      <w:tblPr>
        <w:tblW w:type="auto" w:w="0"/>
        <w:jc w:val="center"/>
        <w:tblLayout w:type="fixed"/>
        <w:tblLook w:firstColumn="1" w:firstRow="1" w:lastColumn="0" w:lastRow="0" w:noHBand="0" w:noVBand="1" w:val="04A0"/>
      </w:tblPr>
      <w:tblGrid>
        <w:gridCol w:w="1639"/>
        <w:gridCol w:w="1639"/>
        <w:gridCol w:w="1639"/>
        <w:gridCol w:w="1639"/>
        <w:gridCol w:w="1639"/>
        <w:gridCol w:w="1639"/>
      </w:tblGrid>
      <w:tr>
        <w:tc>
          <w:tcPr>
            <w:tcW w:type="dxa" w:w="1579"/>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1</w:t>
            </w:r>
          </w:p>
          <w:p>
            <w:pPr>
              <w:spacing w:after="40"/>
              <w:jc w:val="center"/>
            </w:pPr>
            <w:r>
              <w:rPr>
                <w:b/>
                <w:color w:val="0B1F3A"/>
                <w:sz w:val="17"/>
              </w:rPr>
              <w:t>Concept</w:t>
            </w:r>
          </w:p>
          <w:p>
            <w:pPr>
              <w:spacing w:after="0"/>
              <w:jc w:val="center"/>
            </w:pPr>
            <w:r>
              <w:rPr>
                <w:color w:val="5B6777"/>
                <w:sz w:val="14"/>
              </w:rPr>
              <w:t>Need and strategic fit</w:t>
            </w:r>
          </w:p>
        </w:tc>
        <w:tc>
          <w:tcPr>
            <w:tcW w:type="dxa" w:w="1579"/>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2</w:t>
            </w:r>
          </w:p>
          <w:p>
            <w:pPr>
              <w:spacing w:after="40"/>
              <w:jc w:val="center"/>
            </w:pPr>
            <w:r>
              <w:rPr>
                <w:b/>
                <w:color w:val="0B1F3A"/>
                <w:sz w:val="17"/>
              </w:rPr>
              <w:t>Design</w:t>
            </w:r>
          </w:p>
          <w:p>
            <w:pPr>
              <w:spacing w:after="0"/>
              <w:jc w:val="center"/>
            </w:pPr>
            <w:r>
              <w:rPr>
                <w:color w:val="5B6777"/>
                <w:sz w:val="14"/>
              </w:rPr>
              <w:t>Specification and resources</w:t>
            </w:r>
          </w:p>
        </w:tc>
        <w:tc>
          <w:tcPr>
            <w:tcW w:type="dxa" w:w="1579"/>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3</w:t>
            </w:r>
          </w:p>
          <w:p>
            <w:pPr>
              <w:spacing w:after="40"/>
              <w:jc w:val="center"/>
            </w:pPr>
            <w:r>
              <w:rPr>
                <w:b/>
                <w:color w:val="0B1F3A"/>
                <w:sz w:val="17"/>
              </w:rPr>
              <w:t>Academic review</w:t>
            </w:r>
          </w:p>
          <w:p>
            <w:pPr>
              <w:spacing w:after="0"/>
              <w:jc w:val="center"/>
            </w:pPr>
            <w:r>
              <w:rPr>
                <w:color w:val="5B6777"/>
                <w:sz w:val="14"/>
              </w:rPr>
              <w:t>Outcomes and assessment</w:t>
            </w:r>
          </w:p>
        </w:tc>
        <w:tc>
          <w:tcPr>
            <w:tcW w:type="dxa" w:w="1579"/>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4</w:t>
            </w:r>
          </w:p>
          <w:p>
            <w:pPr>
              <w:spacing w:after="40"/>
              <w:jc w:val="center"/>
            </w:pPr>
            <w:r>
              <w:rPr>
                <w:b/>
                <w:color w:val="0B1F3A"/>
                <w:sz w:val="17"/>
              </w:rPr>
              <w:t>Quality review</w:t>
            </w:r>
          </w:p>
          <w:p>
            <w:pPr>
              <w:spacing w:after="0"/>
              <w:jc w:val="center"/>
            </w:pPr>
            <w:r>
              <w:rPr>
                <w:color w:val="5B6777"/>
                <w:sz w:val="14"/>
              </w:rPr>
              <w:t>Controls and learner protection</w:t>
            </w:r>
          </w:p>
        </w:tc>
        <w:tc>
          <w:tcPr>
            <w:tcW w:type="dxa" w:w="1579"/>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5</w:t>
            </w:r>
          </w:p>
          <w:p>
            <w:pPr>
              <w:spacing w:after="40"/>
              <w:jc w:val="center"/>
            </w:pPr>
            <w:r>
              <w:rPr>
                <w:b/>
                <w:color w:val="0B1F3A"/>
                <w:sz w:val="17"/>
              </w:rPr>
              <w:t>Approval</w:t>
            </w:r>
          </w:p>
          <w:p>
            <w:pPr>
              <w:spacing w:after="0"/>
              <w:jc w:val="center"/>
            </w:pPr>
            <w:r>
              <w:rPr>
                <w:color w:val="5B6777"/>
                <w:sz w:val="14"/>
              </w:rPr>
              <w:t>Council / delegated authority</w:t>
            </w:r>
          </w:p>
        </w:tc>
        <w:tc>
          <w:tcPr>
            <w:tcW w:type="dxa" w:w="1579"/>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6</w:t>
            </w:r>
          </w:p>
          <w:p>
            <w:pPr>
              <w:spacing w:after="40"/>
              <w:jc w:val="center"/>
            </w:pPr>
            <w:r>
              <w:rPr>
                <w:b/>
                <w:color w:val="0B1F3A"/>
                <w:sz w:val="17"/>
              </w:rPr>
              <w:t>Publication</w:t>
            </w:r>
          </w:p>
          <w:p>
            <w:pPr>
              <w:spacing w:after="0"/>
              <w:jc w:val="center"/>
            </w:pPr>
            <w:r>
              <w:rPr>
                <w:color w:val="5B6777"/>
                <w:sz w:val="14"/>
              </w:rPr>
              <w:t>Controlled catalogue and LMS</w:t>
            </w:r>
          </w:p>
        </w:tc>
      </w:tr>
    </w:tbl>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108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Gate</w:t>
            </w:r>
          </w:p>
        </w:tc>
        <w:tc>
          <w:tcPr>
            <w:tcW w:type="dxa" w:w="669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Minimum approval evidence</w:t>
            </w:r>
          </w:p>
        </w:tc>
        <w:tc>
          <w:tcPr>
            <w:tcW w:type="dxa" w:w="1699"/>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Decision</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Concept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Need, audience, strategic fit, demand and preliminary viability.</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Proceed / revise / stop.</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Design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Complete programme specification, curriculum map, workload and resources.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Send to academic review.</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Academic</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Disciplinary coherence, level, outcomes, assessment validity and faculty capability.</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Recommend / return.</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Quality</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Accessibility, learner information, moderation, records, risk and review measures.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Assure / condition.</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Approval</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Signed decision, code, version, validity period and conditions.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Approve / reject.</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Publication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Consistent website, catalogue, LMS and marketing information.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Release / hold.</w:t>
            </w:r>
          </w:p>
        </w:tc>
      </w:tr>
    </w:tbl>
    <w:p>
      <w:pPr>
        <w:spacing w:after="0"/>
      </w:pPr>
    </w:p>
    <w:p>
      <w:pPr>
        <w:pStyle w:val="Heading1"/>
      </w:pPr>
      <w:r>
        <w:t>Approved sample programme specifications</w:t>
      </w:r>
    </w:p>
    <w:p>
      <w:r>
        <w:t>The following specifications operationalise the programme portfolio and may be further expanded into module-level handbooks before delivery.</w:t>
      </w:r>
    </w:p>
    <w:p>
      <w:pPr>
        <w:pStyle w:val="Heading1"/>
      </w:pPr>
      <w:r>
        <w:t>Programme Specification: ELP-601 — Executive Leadership Programme</w:t>
      </w:r>
    </w:p>
    <w:tbl>
      <w:tblPr>
        <w:tblW w:type="auto" w:w="0"/>
        <w:jc w:val="center"/>
        <w:tblLayout w:type="fixed"/>
        <w:tblLook w:firstColumn="1" w:firstRow="1" w:lastColumn="0" w:lastRow="0" w:noHBand="0" w:noVBand="1" w:val="04A0"/>
      </w:tblPr>
      <w:tblGrid>
        <w:gridCol w:w="4917"/>
        <w:gridCol w:w="4917"/>
      </w:tblGrid>
      <w:tr>
        <w:tc>
          <w:tcPr>
            <w:tcW w:type="dxa" w:w="2520"/>
            <w:shd w:fill="0B1F3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FFFFFF"/>
                <w:sz w:val="17"/>
              </w:rPr>
              <w:t>Programme code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ELP-601</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Programme title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Executive Leadership Programme</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Award</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Executive Certificate</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Level</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Senior executive</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Duration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12 weeks / 72 learning hours</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Mode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Blended</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Target participants</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Directors-general, agency heads, senior civil servants, institutional executives and reform leaders.</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Approval status</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[Academic Council approval reference]</w:t>
            </w:r>
          </w:p>
        </w:tc>
      </w:tr>
    </w:tbl>
    <w:p>
      <w:pPr>
        <w:pStyle w:val="Heading2"/>
      </w:pPr>
      <w:r>
        <w:t>Rationale and purpose</w:t>
      </w:r>
    </w:p>
    <w:p>
      <w:r>
        <w:t>Develop ethical, strategic and adaptive leaders capable of directing institutions through complexity, fragility and reform.</w:t>
      </w:r>
    </w:p>
    <w:p>
      <w:pPr>
        <w:pStyle w:val="Heading2"/>
      </w:pPr>
      <w:r>
        <w:t>Programme learning outcomes</w:t>
      </w:r>
    </w:p>
    <w:p>
      <w:r>
        <w:t>PLO 1. Frame institutional direction using purpose, mandate and evidence.</w:t>
      </w:r>
    </w:p>
    <w:p>
      <w:r>
        <w:t>PLO 2. Apply ethical, systems and adaptive leadership approaches.</w:t>
      </w:r>
    </w:p>
    <w:p>
      <w:r>
        <w:t>PLO 3. Lead high-performance teams and accountable decision processes.</w:t>
      </w:r>
    </w:p>
    <w:p>
      <w:r>
        <w:t>PLO 4. Design and defend a practical institutional transformation initiative.</w:t>
      </w:r>
    </w:p>
    <w:p>
      <w:pPr>
        <w:pStyle w:val="Heading2"/>
      </w:pPr>
      <w:r>
        <w:t>Curriculum map</w:t>
      </w:r>
    </w:p>
    <w:tbl>
      <w:tblPr>
        <w:tblW w:type="auto" w:w="0"/>
        <w:jc w:val="center"/>
        <w:tblLayout w:type="fixed"/>
        <w:tblLook w:firstColumn="1" w:firstRow="1" w:lastColumn="0" w:lastRow="0" w:noHBand="0" w:noVBand="1" w:val="04A0"/>
      </w:tblPr>
      <w:tblGrid>
        <w:gridCol w:w="1967"/>
        <w:gridCol w:w="1967"/>
        <w:gridCol w:w="1967"/>
        <w:gridCol w:w="1967"/>
        <w:gridCol w:w="1967"/>
      </w:tblGrid>
      <w:tr>
        <w:trPr>
          <w:tblHeader w:val="true"/>
        </w:trPr>
        <w:tc>
          <w:tcPr>
            <w:tcW w:type="dxa" w:w="7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Module</w:t>
            </w:r>
          </w:p>
        </w:tc>
        <w:tc>
          <w:tcPr>
            <w:tcW w:type="dxa" w:w="2477"/>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Title</w:t>
            </w:r>
          </w:p>
        </w:tc>
        <w:tc>
          <w:tcPr>
            <w:tcW w:type="dxa" w:w="15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Mapped outcomes</w:t>
            </w:r>
          </w:p>
        </w:tc>
        <w:tc>
          <w:tcPr>
            <w:tcW w:type="dxa" w:w="25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Learning strategy</w:t>
            </w:r>
          </w:p>
        </w:tc>
        <w:tc>
          <w:tcPr>
            <w:tcW w:type="dxa" w:w="224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Assessment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M1</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Strategic leadership in fragile contexts</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1; PLO 2</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M2</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Ethics, public value and accountability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2; PLO 3</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M3</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Systems thinking and institutional diagnosis</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3; PLO 4</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M4</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Executive decision-making and communication</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1</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M5</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Leading people, culture and performance</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2</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M6</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Capstone transformation challenge</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3</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bl>
    <w:p>
      <w:pPr>
        <w:spacing w:after="0"/>
      </w:pPr>
    </w:p>
    <w:p>
      <w:pPr>
        <w:pStyle w:val="Heading2"/>
      </w:pPr>
      <w:r>
        <w:t>Assessment strategy</w:t>
      </w: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APPROVED ASSESSMENT</w:t>
            </w:r>
          </w:p>
          <w:p>
            <w:pPr>
              <w:spacing w:after="0"/>
            </w:pPr>
            <w:r>
              <w:rPr>
                <w:color w:val="17202A"/>
                <w:sz w:val="18"/>
              </w:rPr>
              <w:t>Leadership diagnostic 15%; case analysis 20%; executive simulation 20%; capstone proposal and presentation 45%.</w:t>
            </w:r>
          </w:p>
        </w:tc>
      </w:tr>
    </w:tbl>
    <w:p>
      <w:pPr>
        <w:spacing w:after="0"/>
      </w:pPr>
    </w:p>
    <w:p>
      <w:pPr>
        <w:pStyle w:val="Heading2"/>
      </w:pPr>
      <w:r>
        <w:t>Learning resources and facilitation</w:t>
      </w:r>
    </w:p>
    <w:p>
      <w:pPr>
        <w:pStyle w:val="ListBullet"/>
        <w:ind w:left="317" w:hanging="173"/>
      </w:pPr>
      <w:r>
        <w:t>Programme handbook, module guides and curated reading/resource list.</w:t>
      </w:r>
    </w:p>
    <w:p>
      <w:pPr>
        <w:pStyle w:val="ListBullet"/>
        <w:ind w:left="317" w:hanging="173"/>
      </w:pPr>
      <w:r>
        <w:t>Context-specific case studies and institutional datasets where authorised.</w:t>
      </w:r>
    </w:p>
    <w:p>
      <w:pPr>
        <w:pStyle w:val="ListBullet"/>
        <w:ind w:left="317" w:hanging="173"/>
      </w:pPr>
      <w:r>
        <w:t>Qualified lead faculty, guest experts and learning-support personnel.</w:t>
      </w:r>
    </w:p>
    <w:p>
      <w:pPr>
        <w:pStyle w:val="ListBullet"/>
        <w:ind w:left="317" w:hanging="173"/>
      </w:pPr>
      <w:r>
        <w:t>Learning-management system access for resources, communication, assessment and feedback.</w:t>
      </w:r>
    </w:p>
    <w:p>
      <w:pPr>
        <w:pStyle w:val="ListBullet"/>
        <w:ind w:left="317" w:hanging="173"/>
      </w:pPr>
      <w:r>
        <w:t>Reasonable adjustment plan and contingency arrangements for disrupted delivery.</w:t>
      </w:r>
    </w:p>
    <w:p>
      <w:r>
        <w:br w:type="page"/>
      </w:r>
    </w:p>
    <w:p>
      <w:pPr>
        <w:pStyle w:val="Heading1"/>
      </w:pPr>
      <w:r>
        <w:t>Programme Specification: AGPA-602 — Advanced Governance &amp; Public Administration</w:t>
      </w:r>
    </w:p>
    <w:tbl>
      <w:tblPr>
        <w:tblW w:type="auto" w:w="0"/>
        <w:jc w:val="center"/>
        <w:tblLayout w:type="fixed"/>
        <w:tblLook w:firstColumn="1" w:firstRow="1" w:lastColumn="0" w:lastRow="0" w:noHBand="0" w:noVBand="1" w:val="04A0"/>
      </w:tblPr>
      <w:tblGrid>
        <w:gridCol w:w="4917"/>
        <w:gridCol w:w="4917"/>
      </w:tblGrid>
      <w:tr>
        <w:tc>
          <w:tcPr>
            <w:tcW w:type="dxa" w:w="2520"/>
            <w:shd w:fill="0B1F3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FFFFFF"/>
                <w:sz w:val="17"/>
              </w:rPr>
              <w:t>Programme code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AGPA-602</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Programme title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Advanced Governance &amp; Public Administration</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Award</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Advanced Certificate</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Level</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Advanced professional</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Duration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12 weeks / 72 learning hours</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Mode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In-person / blended</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Target participants</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Public administrators, policy advisers, ministry directors, local-government leaders and governance specialists.</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Approval status</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[Academic Council approval reference]</w:t>
            </w:r>
          </w:p>
        </w:tc>
      </w:tr>
    </w:tbl>
    <w:p>
      <w:pPr>
        <w:pStyle w:val="Heading2"/>
      </w:pPr>
      <w:r>
        <w:t>Rationale and purpose</w:t>
      </w:r>
    </w:p>
    <w:p>
      <w:r>
        <w:t>Strengthen institutional design, policy implementation, intergovernmental coordination and citizen-centred administration.</w:t>
      </w:r>
    </w:p>
    <w:p>
      <w:pPr>
        <w:pStyle w:val="Heading2"/>
      </w:pPr>
      <w:r>
        <w:t>Programme learning outcomes</w:t>
      </w:r>
    </w:p>
    <w:p>
      <w:r>
        <w:t>PLO 1. Distinguish governance, administration and management responsibilities.</w:t>
      </w:r>
    </w:p>
    <w:p>
      <w:r>
        <w:t>PLO 2. Diagnose institutional mandates, structures and accountability gaps.</w:t>
      </w:r>
    </w:p>
    <w:p>
      <w:r>
        <w:t>PLO 3. Translate public policy into implementable programmes and service standards.</w:t>
      </w:r>
    </w:p>
    <w:p>
      <w:r>
        <w:t>PLO 4. Develop a reform roadmap with measurable governance results.</w:t>
      </w:r>
    </w:p>
    <w:p>
      <w:pPr>
        <w:pStyle w:val="Heading2"/>
      </w:pPr>
      <w:r>
        <w:t>Curriculum map</w:t>
      </w:r>
    </w:p>
    <w:tbl>
      <w:tblPr>
        <w:tblW w:type="auto" w:w="0"/>
        <w:jc w:val="center"/>
        <w:tblLayout w:type="fixed"/>
        <w:tblLook w:firstColumn="1" w:firstRow="1" w:lastColumn="0" w:lastRow="0" w:noHBand="0" w:noVBand="1" w:val="04A0"/>
      </w:tblPr>
      <w:tblGrid>
        <w:gridCol w:w="1967"/>
        <w:gridCol w:w="1967"/>
        <w:gridCol w:w="1967"/>
        <w:gridCol w:w="1967"/>
        <w:gridCol w:w="1967"/>
      </w:tblGrid>
      <w:tr>
        <w:trPr>
          <w:tblHeader w:val="true"/>
        </w:trPr>
        <w:tc>
          <w:tcPr>
            <w:tcW w:type="dxa" w:w="7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Module</w:t>
            </w:r>
          </w:p>
        </w:tc>
        <w:tc>
          <w:tcPr>
            <w:tcW w:type="dxa" w:w="2477"/>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Title</w:t>
            </w:r>
          </w:p>
        </w:tc>
        <w:tc>
          <w:tcPr>
            <w:tcW w:type="dxa" w:w="15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Mapped outcomes</w:t>
            </w:r>
          </w:p>
        </w:tc>
        <w:tc>
          <w:tcPr>
            <w:tcW w:type="dxa" w:w="25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Learning strategy</w:t>
            </w:r>
          </w:p>
        </w:tc>
        <w:tc>
          <w:tcPr>
            <w:tcW w:type="dxa" w:w="224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Assessment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M1</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Foundations of sovereign governance</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1; PLO 2</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M2</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Public administration and institutional design</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2; PLO 3</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M3</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Federalism and intergovernmental relations</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3; PLO 4</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M4</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Policy design and implementation</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1</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M5</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Public service performance and accountability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2</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M6</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Governance reform laboratory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3</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bl>
    <w:p>
      <w:pPr>
        <w:spacing w:after="0"/>
      </w:pPr>
    </w:p>
    <w:p>
      <w:pPr>
        <w:pStyle w:val="Heading2"/>
      </w:pPr>
      <w:r>
        <w:t>Assessment strategy</w:t>
      </w: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APPROVED ASSESSMENT</w:t>
            </w:r>
          </w:p>
          <w:p>
            <w:pPr>
              <w:spacing w:after="0"/>
            </w:pPr>
            <w:r>
              <w:rPr>
                <w:color w:val="17202A"/>
                <w:sz w:val="18"/>
              </w:rPr>
              <w:t>Policy memo 20%; institutional diagnostic 25%; group simulation 15%; reform roadmap 40%.</w:t>
            </w:r>
          </w:p>
        </w:tc>
      </w:tr>
    </w:tbl>
    <w:p>
      <w:pPr>
        <w:spacing w:after="0"/>
      </w:pPr>
    </w:p>
    <w:p>
      <w:pPr>
        <w:pStyle w:val="Heading2"/>
      </w:pPr>
      <w:r>
        <w:t>Learning resources and facilitation</w:t>
      </w:r>
    </w:p>
    <w:p>
      <w:pPr>
        <w:pStyle w:val="ListBullet"/>
        <w:ind w:left="317" w:hanging="173"/>
      </w:pPr>
      <w:r>
        <w:t>Programme handbook, module guides and curated reading/resource list.</w:t>
      </w:r>
    </w:p>
    <w:p>
      <w:pPr>
        <w:pStyle w:val="ListBullet"/>
        <w:ind w:left="317" w:hanging="173"/>
      </w:pPr>
      <w:r>
        <w:t>Context-specific case studies and institutional datasets where authorised.</w:t>
      </w:r>
    </w:p>
    <w:p>
      <w:pPr>
        <w:pStyle w:val="ListBullet"/>
        <w:ind w:left="317" w:hanging="173"/>
      </w:pPr>
      <w:r>
        <w:t>Qualified lead faculty, guest experts and learning-support personnel.</w:t>
      </w:r>
    </w:p>
    <w:p>
      <w:pPr>
        <w:pStyle w:val="ListBullet"/>
        <w:ind w:left="317" w:hanging="173"/>
      </w:pPr>
      <w:r>
        <w:t>Learning-management system access for resources, communication, assessment and feedback.</w:t>
      </w:r>
    </w:p>
    <w:p>
      <w:pPr>
        <w:pStyle w:val="ListBullet"/>
        <w:ind w:left="317" w:hanging="173"/>
      </w:pPr>
      <w:r>
        <w:t>Reasonable adjustment plan and contingency arrangements for disrupted delivery.</w:t>
      </w:r>
    </w:p>
    <w:p>
      <w:r>
        <w:br w:type="page"/>
      </w:r>
    </w:p>
    <w:p>
      <w:pPr>
        <w:pStyle w:val="Heading1"/>
      </w:pPr>
      <w:r>
        <w:t>Programme Specification: PFM-603 — Public Financial Management</w:t>
      </w:r>
    </w:p>
    <w:tbl>
      <w:tblPr>
        <w:tblW w:type="auto" w:w="0"/>
        <w:jc w:val="center"/>
        <w:tblLayout w:type="fixed"/>
        <w:tblLook w:firstColumn="1" w:firstRow="1" w:lastColumn="0" w:lastRow="0" w:noHBand="0" w:noVBand="1" w:val="04A0"/>
      </w:tblPr>
      <w:tblGrid>
        <w:gridCol w:w="4917"/>
        <w:gridCol w:w="4917"/>
      </w:tblGrid>
      <w:tr>
        <w:tc>
          <w:tcPr>
            <w:tcW w:type="dxa" w:w="2520"/>
            <w:shd w:fill="0B1F3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FFFFFF"/>
                <w:sz w:val="17"/>
              </w:rPr>
              <w:t>Programme code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PFM-603</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Programme title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Public Financial Management</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Award</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Professional Certificate</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Level</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Professional</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Duration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8 weeks / 48 learning hours</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Mode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Online / blended</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Target participants</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Finance officers, programme managers, auditors, procurement specialists and public-sector decision-makers.</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Approval status</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[Academic Council approval reference]</w:t>
            </w:r>
          </w:p>
        </w:tc>
      </w:tr>
    </w:tbl>
    <w:p>
      <w:pPr>
        <w:pStyle w:val="Heading2"/>
      </w:pPr>
      <w:r>
        <w:t>Rationale and purpose</w:t>
      </w:r>
    </w:p>
    <w:p>
      <w:r>
        <w:t>Build practical competence in budgeting, expenditure control, procurement, audit, fiscal risk and accountable stewardship.</w:t>
      </w:r>
    </w:p>
    <w:p>
      <w:pPr>
        <w:pStyle w:val="Heading2"/>
      </w:pPr>
      <w:r>
        <w:t>Programme learning outcomes</w:t>
      </w:r>
    </w:p>
    <w:p>
      <w:r>
        <w:t>PLO 1. Interpret the public financial management cycle and control environment.</w:t>
      </w:r>
    </w:p>
    <w:p>
      <w:r>
        <w:t>PLO 2. Prepare credible, policy-linked budgets and expenditure plans.</w:t>
      </w:r>
    </w:p>
    <w:p>
      <w:r>
        <w:t>PLO 3. Apply transparent procurement, internal control and audit principles.</w:t>
      </w:r>
    </w:p>
    <w:p>
      <w:r>
        <w:t>PLO 4. Assess fiscal risks and communicate financial performance.</w:t>
      </w:r>
    </w:p>
    <w:p>
      <w:pPr>
        <w:pStyle w:val="Heading2"/>
      </w:pPr>
      <w:r>
        <w:t>Curriculum map</w:t>
      </w:r>
    </w:p>
    <w:tbl>
      <w:tblPr>
        <w:tblW w:type="auto" w:w="0"/>
        <w:jc w:val="center"/>
        <w:tblLayout w:type="fixed"/>
        <w:tblLook w:firstColumn="1" w:firstRow="1" w:lastColumn="0" w:lastRow="0" w:noHBand="0" w:noVBand="1" w:val="04A0"/>
      </w:tblPr>
      <w:tblGrid>
        <w:gridCol w:w="1967"/>
        <w:gridCol w:w="1967"/>
        <w:gridCol w:w="1967"/>
        <w:gridCol w:w="1967"/>
        <w:gridCol w:w="1967"/>
      </w:tblGrid>
      <w:tr>
        <w:trPr>
          <w:tblHeader w:val="true"/>
        </w:trPr>
        <w:tc>
          <w:tcPr>
            <w:tcW w:type="dxa" w:w="7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Module</w:t>
            </w:r>
          </w:p>
        </w:tc>
        <w:tc>
          <w:tcPr>
            <w:tcW w:type="dxa" w:w="2477"/>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Title</w:t>
            </w:r>
          </w:p>
        </w:tc>
        <w:tc>
          <w:tcPr>
            <w:tcW w:type="dxa" w:w="15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Mapped outcomes</w:t>
            </w:r>
          </w:p>
        </w:tc>
        <w:tc>
          <w:tcPr>
            <w:tcW w:type="dxa" w:w="25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Learning strategy</w:t>
            </w:r>
          </w:p>
        </w:tc>
        <w:tc>
          <w:tcPr>
            <w:tcW w:type="dxa" w:w="224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Assessment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M1</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PFM architecture and legal foundations</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1; PLO 2</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M2</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Policy-based budgeting</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2; PLO 3</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M3</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Treasury, cash and expenditure controls</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3; PLO 4</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M4</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Procurement and contract governance</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1</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M5</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Internal audit, external audit and oversight</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2</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M6</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Fiscal risk and performance reporting</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3</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bl>
    <w:p>
      <w:pPr>
        <w:spacing w:after="0"/>
      </w:pPr>
    </w:p>
    <w:p>
      <w:pPr>
        <w:pStyle w:val="Heading2"/>
      </w:pPr>
      <w:r>
        <w:t>Assessment strategy</w:t>
      </w: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APPROVED ASSESSMENT</w:t>
            </w:r>
          </w:p>
          <w:p>
            <w:pPr>
              <w:spacing w:after="0"/>
            </w:pPr>
            <w:r>
              <w:rPr>
                <w:color w:val="17202A"/>
                <w:sz w:val="18"/>
              </w:rPr>
              <w:t>Applied exercises 25%; budget case 25%; control review 20%; final portfolio 30%.</w:t>
            </w:r>
          </w:p>
        </w:tc>
      </w:tr>
    </w:tbl>
    <w:p>
      <w:pPr>
        <w:spacing w:after="0"/>
      </w:pPr>
    </w:p>
    <w:p>
      <w:pPr>
        <w:pStyle w:val="Heading2"/>
      </w:pPr>
      <w:r>
        <w:t>Learning resources and facilitation</w:t>
      </w:r>
    </w:p>
    <w:p>
      <w:pPr>
        <w:pStyle w:val="ListBullet"/>
        <w:ind w:left="317" w:hanging="173"/>
      </w:pPr>
      <w:r>
        <w:t>Programme handbook, module guides and curated reading/resource list.</w:t>
      </w:r>
    </w:p>
    <w:p>
      <w:pPr>
        <w:pStyle w:val="ListBullet"/>
        <w:ind w:left="317" w:hanging="173"/>
      </w:pPr>
      <w:r>
        <w:t>Context-specific case studies and institutional datasets where authorised.</w:t>
      </w:r>
    </w:p>
    <w:p>
      <w:pPr>
        <w:pStyle w:val="ListBullet"/>
        <w:ind w:left="317" w:hanging="173"/>
      </w:pPr>
      <w:r>
        <w:t>Qualified lead faculty, guest experts and learning-support personnel.</w:t>
      </w:r>
    </w:p>
    <w:p>
      <w:pPr>
        <w:pStyle w:val="ListBullet"/>
        <w:ind w:left="317" w:hanging="173"/>
      </w:pPr>
      <w:r>
        <w:t>Learning-management system access for resources, communication, assessment and feedback.</w:t>
      </w:r>
    </w:p>
    <w:p>
      <w:pPr>
        <w:pStyle w:val="ListBullet"/>
        <w:ind w:left="317" w:hanging="173"/>
      </w:pPr>
      <w:r>
        <w:t>Reasonable adjustment plan and contingency arrangements for disrupted delivery.</w:t>
      </w:r>
    </w:p>
    <w:p>
      <w:r>
        <w:br w:type="page"/>
      </w:r>
    </w:p>
    <w:p>
      <w:pPr>
        <w:pStyle w:val="Heading1"/>
      </w:pPr>
      <w:r>
        <w:t>Programme Specification: RLAC-604 — Rule of Law &amp; Anti-Corruption</w:t>
      </w:r>
    </w:p>
    <w:tbl>
      <w:tblPr>
        <w:tblW w:type="auto" w:w="0"/>
        <w:jc w:val="center"/>
        <w:tblLayout w:type="fixed"/>
        <w:tblLook w:firstColumn="1" w:firstRow="1" w:lastColumn="0" w:lastRow="0" w:noHBand="0" w:noVBand="1" w:val="04A0"/>
      </w:tblPr>
      <w:tblGrid>
        <w:gridCol w:w="4917"/>
        <w:gridCol w:w="4917"/>
      </w:tblGrid>
      <w:tr>
        <w:tc>
          <w:tcPr>
            <w:tcW w:type="dxa" w:w="2520"/>
            <w:shd w:fill="0B1F3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FFFFFF"/>
                <w:sz w:val="17"/>
              </w:rPr>
              <w:t>Programme code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RLAC-604</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Programme title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Rule of Law &amp; Anti-Corruption</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Award</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Professional Certificate</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Level</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Professional</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Duration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8 weeks / 48 learning hours</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Mode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Blended</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Target participants</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Justice-sector personnel, investigators, oversight bodies, civil servants, compliance officers and civil-society leaders.</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Approval status</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[Academic Council approval reference]</w:t>
            </w:r>
          </w:p>
        </w:tc>
      </w:tr>
    </w:tbl>
    <w:p>
      <w:pPr>
        <w:pStyle w:val="Heading2"/>
      </w:pPr>
      <w:r>
        <w:t>Rationale and purpose</w:t>
      </w:r>
    </w:p>
    <w:p>
      <w:r>
        <w:t>Develop practical approaches to legality, integrity systems, corruption-risk management and accountable enforcement.</w:t>
      </w:r>
    </w:p>
    <w:p>
      <w:pPr>
        <w:pStyle w:val="Heading2"/>
      </w:pPr>
      <w:r>
        <w:t>Programme learning outcomes</w:t>
      </w:r>
    </w:p>
    <w:p>
      <w:r>
        <w:t>PLO 1. Explain rule-of-law principles in institutional practice.</w:t>
      </w:r>
    </w:p>
    <w:p>
      <w:r>
        <w:t>PLO 2. Map corruption risks and integrity-control weaknesses.</w:t>
      </w:r>
    </w:p>
    <w:p>
      <w:r>
        <w:t>PLO 3. Design proportionate prevention, reporting and response mechanisms.</w:t>
      </w:r>
    </w:p>
    <w:p>
      <w:r>
        <w:t>PLO 4. Prepare an institutional integrity action plan.</w:t>
      </w:r>
    </w:p>
    <w:p>
      <w:pPr>
        <w:pStyle w:val="Heading2"/>
      </w:pPr>
      <w:r>
        <w:t>Curriculum map</w:t>
      </w:r>
    </w:p>
    <w:tbl>
      <w:tblPr>
        <w:tblW w:type="auto" w:w="0"/>
        <w:jc w:val="center"/>
        <w:tblLayout w:type="fixed"/>
        <w:tblLook w:firstColumn="1" w:firstRow="1" w:lastColumn="0" w:lastRow="0" w:noHBand="0" w:noVBand="1" w:val="04A0"/>
      </w:tblPr>
      <w:tblGrid>
        <w:gridCol w:w="1967"/>
        <w:gridCol w:w="1967"/>
        <w:gridCol w:w="1967"/>
        <w:gridCol w:w="1967"/>
        <w:gridCol w:w="1967"/>
      </w:tblGrid>
      <w:tr>
        <w:trPr>
          <w:tblHeader w:val="true"/>
        </w:trPr>
        <w:tc>
          <w:tcPr>
            <w:tcW w:type="dxa" w:w="7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Module</w:t>
            </w:r>
          </w:p>
        </w:tc>
        <w:tc>
          <w:tcPr>
            <w:tcW w:type="dxa" w:w="2477"/>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Title</w:t>
            </w:r>
          </w:p>
        </w:tc>
        <w:tc>
          <w:tcPr>
            <w:tcW w:type="dxa" w:w="15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Mapped outcomes</w:t>
            </w:r>
          </w:p>
        </w:tc>
        <w:tc>
          <w:tcPr>
            <w:tcW w:type="dxa" w:w="25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Learning strategy</w:t>
            </w:r>
          </w:p>
        </w:tc>
        <w:tc>
          <w:tcPr>
            <w:tcW w:type="dxa" w:w="224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Assessment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M1</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Rule of law and institutional legitimacy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1; PLO 2</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M2</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Integrity systems and corruption typologies</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2; PLO 3</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M3</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Risk assessment and prevention controls</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3; PLO 4</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M4</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Investigation, due process and whistleblowing</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1</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M5</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Public procurement and conflict-of-interest risks</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2</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M6</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Integrity action-plan studio</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3</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bl>
    <w:p>
      <w:pPr>
        <w:spacing w:after="0"/>
      </w:pPr>
    </w:p>
    <w:p>
      <w:pPr>
        <w:pStyle w:val="Heading2"/>
      </w:pPr>
      <w:r>
        <w:t>Assessment strategy</w:t>
      </w: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APPROVED ASSESSMENT</w:t>
            </w:r>
          </w:p>
          <w:p>
            <w:pPr>
              <w:spacing w:after="0"/>
            </w:pPr>
            <w:r>
              <w:rPr>
                <w:color w:val="17202A"/>
                <w:sz w:val="18"/>
              </w:rPr>
              <w:t>Risk map 20%; legal/integrity case 25%; simulation 20%; integrity action plan 35%.</w:t>
            </w:r>
          </w:p>
        </w:tc>
      </w:tr>
    </w:tbl>
    <w:p>
      <w:pPr>
        <w:spacing w:after="0"/>
      </w:pPr>
    </w:p>
    <w:p>
      <w:pPr>
        <w:pStyle w:val="Heading2"/>
      </w:pPr>
      <w:r>
        <w:t>Learning resources and facilitation</w:t>
      </w:r>
    </w:p>
    <w:p>
      <w:pPr>
        <w:pStyle w:val="ListBullet"/>
        <w:ind w:left="317" w:hanging="173"/>
      </w:pPr>
      <w:r>
        <w:t>Programme handbook, module guides and curated reading/resource list.</w:t>
      </w:r>
    </w:p>
    <w:p>
      <w:pPr>
        <w:pStyle w:val="ListBullet"/>
        <w:ind w:left="317" w:hanging="173"/>
      </w:pPr>
      <w:r>
        <w:t>Context-specific case studies and institutional datasets where authorised.</w:t>
      </w:r>
    </w:p>
    <w:p>
      <w:pPr>
        <w:pStyle w:val="ListBullet"/>
        <w:ind w:left="317" w:hanging="173"/>
      </w:pPr>
      <w:r>
        <w:t>Qualified lead faculty, guest experts and learning-support personnel.</w:t>
      </w:r>
    </w:p>
    <w:p>
      <w:pPr>
        <w:pStyle w:val="ListBullet"/>
        <w:ind w:left="317" w:hanging="173"/>
      </w:pPr>
      <w:r>
        <w:t>Learning-management system access for resources, communication, assessment and feedback.</w:t>
      </w:r>
    </w:p>
    <w:p>
      <w:pPr>
        <w:pStyle w:val="ListBullet"/>
        <w:ind w:left="317" w:hanging="173"/>
      </w:pPr>
      <w:r>
        <w:t>Reasonable adjustment plan and contingency arrangements for disrupted delivery.</w:t>
      </w:r>
    </w:p>
    <w:p>
      <w:r>
        <w:br w:type="page"/>
      </w:r>
    </w:p>
    <w:p>
      <w:pPr>
        <w:pStyle w:val="Heading1"/>
      </w:pPr>
      <w:r>
        <w:t>Programme Specification: DPIA-605 — Diplomatic Protocol &amp; International Affairs</w:t>
      </w:r>
    </w:p>
    <w:tbl>
      <w:tblPr>
        <w:tblW w:type="auto" w:w="0"/>
        <w:jc w:val="center"/>
        <w:tblLayout w:type="fixed"/>
        <w:tblLook w:firstColumn="1" w:firstRow="1" w:lastColumn="0" w:lastRow="0" w:noHBand="0" w:noVBand="1" w:val="04A0"/>
      </w:tblPr>
      <w:tblGrid>
        <w:gridCol w:w="4917"/>
        <w:gridCol w:w="4917"/>
      </w:tblGrid>
      <w:tr>
        <w:tc>
          <w:tcPr>
            <w:tcW w:type="dxa" w:w="2520"/>
            <w:shd w:fill="0B1F3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FFFFFF"/>
                <w:sz w:val="17"/>
              </w:rPr>
              <w:t>Programme code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DPIA-605</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Programme title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Diplomatic Protocol &amp; International Affairs</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Award</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Executive Certificate</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Level</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Executive</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Duration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6 weeks / 36 learning hours</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Mode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Blended</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Target participants</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Government officials, protocol officers, diplomats, international-relations practitioners and executive support teams.</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Approval status</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[Academic Council approval reference]</w:t>
            </w:r>
          </w:p>
        </w:tc>
      </w:tr>
    </w:tbl>
    <w:p>
      <w:pPr>
        <w:pStyle w:val="Heading2"/>
      </w:pPr>
      <w:r>
        <w:t>Rationale and purpose</w:t>
      </w:r>
    </w:p>
    <w:p>
      <w:r>
        <w:t>Build diplomatic judgement, protocol competence, negotiation discipline and strategic representation skills.</w:t>
      </w:r>
    </w:p>
    <w:p>
      <w:pPr>
        <w:pStyle w:val="Heading2"/>
      </w:pPr>
      <w:r>
        <w:t>Programme learning outcomes</w:t>
      </w:r>
    </w:p>
    <w:p>
      <w:r>
        <w:t>PLO 1. Apply protocol, precedence and ceremonial standards.</w:t>
      </w:r>
    </w:p>
    <w:p>
      <w:r>
        <w:t>PLO 2. Prepare diplomatic briefs, talking points and official correspondence.</w:t>
      </w:r>
    </w:p>
    <w:p>
      <w:r>
        <w:t>PLO 3. Use negotiation and cross-cultural communication techniques.</w:t>
      </w:r>
    </w:p>
    <w:p>
      <w:r>
        <w:t>PLO 4. Plan and deliver a high-level official engagement.</w:t>
      </w:r>
    </w:p>
    <w:p>
      <w:pPr>
        <w:pStyle w:val="Heading2"/>
      </w:pPr>
      <w:r>
        <w:t>Curriculum map</w:t>
      </w:r>
    </w:p>
    <w:tbl>
      <w:tblPr>
        <w:tblW w:type="auto" w:w="0"/>
        <w:jc w:val="center"/>
        <w:tblLayout w:type="fixed"/>
        <w:tblLook w:firstColumn="1" w:firstRow="1" w:lastColumn="0" w:lastRow="0" w:noHBand="0" w:noVBand="1" w:val="04A0"/>
      </w:tblPr>
      <w:tblGrid>
        <w:gridCol w:w="1967"/>
        <w:gridCol w:w="1967"/>
        <w:gridCol w:w="1967"/>
        <w:gridCol w:w="1967"/>
        <w:gridCol w:w="1967"/>
      </w:tblGrid>
      <w:tr>
        <w:trPr>
          <w:tblHeader w:val="true"/>
        </w:trPr>
        <w:tc>
          <w:tcPr>
            <w:tcW w:type="dxa" w:w="7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Module</w:t>
            </w:r>
          </w:p>
        </w:tc>
        <w:tc>
          <w:tcPr>
            <w:tcW w:type="dxa" w:w="2477"/>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Title</w:t>
            </w:r>
          </w:p>
        </w:tc>
        <w:tc>
          <w:tcPr>
            <w:tcW w:type="dxa" w:w="15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Mapped outcomes</w:t>
            </w:r>
          </w:p>
        </w:tc>
        <w:tc>
          <w:tcPr>
            <w:tcW w:type="dxa" w:w="25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Learning strategy</w:t>
            </w:r>
          </w:p>
        </w:tc>
        <w:tc>
          <w:tcPr>
            <w:tcW w:type="dxa" w:w="224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Assessment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M1</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Diplomacy and foreign-policy practice</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1; PLO 2</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M2</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Protocol, precedence and ceremonial management</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2; PLO 3</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M3</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Diplomatic writing and briefing</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3; PLO 4</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M4</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Negotiation and mediation</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1</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M5</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Cross-cultural communication and representation</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2</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M6</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Official-event simulation</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3</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bl>
    <w:p>
      <w:pPr>
        <w:spacing w:after="0"/>
      </w:pPr>
    </w:p>
    <w:p>
      <w:pPr>
        <w:pStyle w:val="Heading2"/>
      </w:pPr>
      <w:r>
        <w:t>Assessment strategy</w:t>
      </w: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APPROVED ASSESSMENT</w:t>
            </w:r>
          </w:p>
          <w:p>
            <w:pPr>
              <w:spacing w:after="0"/>
            </w:pPr>
            <w:r>
              <w:rPr>
                <w:color w:val="17202A"/>
                <w:sz w:val="18"/>
              </w:rPr>
              <w:t>Protocol plan 25%; diplomatic brief 25%; negotiation simulation 25%; final official-engagement portfolio 25%.</w:t>
            </w:r>
          </w:p>
        </w:tc>
      </w:tr>
    </w:tbl>
    <w:p>
      <w:pPr>
        <w:spacing w:after="0"/>
      </w:pPr>
    </w:p>
    <w:p>
      <w:pPr>
        <w:pStyle w:val="Heading2"/>
      </w:pPr>
      <w:r>
        <w:t>Learning resources and facilitation</w:t>
      </w:r>
    </w:p>
    <w:p>
      <w:pPr>
        <w:pStyle w:val="ListBullet"/>
        <w:ind w:left="317" w:hanging="173"/>
      </w:pPr>
      <w:r>
        <w:t>Programme handbook, module guides and curated reading/resource list.</w:t>
      </w:r>
    </w:p>
    <w:p>
      <w:pPr>
        <w:pStyle w:val="ListBullet"/>
        <w:ind w:left="317" w:hanging="173"/>
      </w:pPr>
      <w:r>
        <w:t>Context-specific case studies and institutional datasets where authorised.</w:t>
      </w:r>
    </w:p>
    <w:p>
      <w:pPr>
        <w:pStyle w:val="ListBullet"/>
        <w:ind w:left="317" w:hanging="173"/>
      </w:pPr>
      <w:r>
        <w:t>Qualified lead faculty, guest experts and learning-support personnel.</w:t>
      </w:r>
    </w:p>
    <w:p>
      <w:pPr>
        <w:pStyle w:val="ListBullet"/>
        <w:ind w:left="317" w:hanging="173"/>
      </w:pPr>
      <w:r>
        <w:t>Learning-management system access for resources, communication, assessment and feedback.</w:t>
      </w:r>
    </w:p>
    <w:p>
      <w:pPr>
        <w:pStyle w:val="ListBullet"/>
        <w:ind w:left="317" w:hanging="173"/>
      </w:pPr>
      <w:r>
        <w:t>Reasonable adjustment plan and contingency arrangements for disrupted delivery.</w:t>
      </w:r>
    </w:p>
    <w:p>
      <w:r>
        <w:br w:type="page"/>
      </w:r>
    </w:p>
    <w:p>
      <w:pPr>
        <w:pStyle w:val="Heading1"/>
      </w:pPr>
      <w:r>
        <w:t>Programme Specification: WSL-606 — Women in Senior Leadership</w:t>
      </w:r>
    </w:p>
    <w:tbl>
      <w:tblPr>
        <w:tblW w:type="auto" w:w="0"/>
        <w:jc w:val="center"/>
        <w:tblLayout w:type="fixed"/>
        <w:tblLook w:firstColumn="1" w:firstRow="1" w:lastColumn="0" w:lastRow="0" w:noHBand="0" w:noVBand="1" w:val="04A0"/>
      </w:tblPr>
      <w:tblGrid>
        <w:gridCol w:w="4917"/>
        <w:gridCol w:w="4917"/>
      </w:tblGrid>
      <w:tr>
        <w:tc>
          <w:tcPr>
            <w:tcW w:type="dxa" w:w="2520"/>
            <w:shd w:fill="0B1F3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FFFFFF"/>
                <w:sz w:val="17"/>
              </w:rPr>
              <w:t>Programme code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WSL-606</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Programme title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Women in Senior Leadership</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Award</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Executive Development Certificate</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Level</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Executive</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Duration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10 weeks / 60 learning hours</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Mode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Blended / cohort</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Target participants</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Women in public leadership, academia, civil society, health, education, business and emerging executive roles.</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Approval status</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[Academic Council approval reference]</w:t>
            </w:r>
          </w:p>
        </w:tc>
      </w:tr>
    </w:tbl>
    <w:p>
      <w:pPr>
        <w:pStyle w:val="Heading2"/>
      </w:pPr>
      <w:r>
        <w:t>Rationale and purpose</w:t>
      </w:r>
    </w:p>
    <w:p>
      <w:r>
        <w:t>Advance confident, ethical and influential women leaders through skills, sponsorship, networks and applied leadership practice.</w:t>
      </w:r>
    </w:p>
    <w:p>
      <w:pPr>
        <w:pStyle w:val="Heading2"/>
      </w:pPr>
      <w:r>
        <w:t>Programme learning outcomes</w:t>
      </w:r>
    </w:p>
    <w:p>
      <w:r>
        <w:t>PLO 1. Strengthen executive presence, influence and strategic communication.</w:t>
      </w:r>
    </w:p>
    <w:p>
      <w:r>
        <w:t>PLO 2. Navigate institutional power, bias and stakeholder dynamics.</w:t>
      </w:r>
    </w:p>
    <w:p>
      <w:r>
        <w:t>PLO 3. Build high-value professional networks and mentoring relationships.</w:t>
      </w:r>
    </w:p>
    <w:p>
      <w:r>
        <w:t>PLO 4. Deliver a workplace leadership-impact project.</w:t>
      </w:r>
    </w:p>
    <w:p>
      <w:pPr>
        <w:pStyle w:val="Heading2"/>
      </w:pPr>
      <w:r>
        <w:t>Curriculum map</w:t>
      </w:r>
    </w:p>
    <w:tbl>
      <w:tblPr>
        <w:tblW w:type="auto" w:w="0"/>
        <w:jc w:val="center"/>
        <w:tblLayout w:type="fixed"/>
        <w:tblLook w:firstColumn="1" w:firstRow="1" w:lastColumn="0" w:lastRow="0" w:noHBand="0" w:noVBand="1" w:val="04A0"/>
      </w:tblPr>
      <w:tblGrid>
        <w:gridCol w:w="1967"/>
        <w:gridCol w:w="1967"/>
        <w:gridCol w:w="1967"/>
        <w:gridCol w:w="1967"/>
        <w:gridCol w:w="1967"/>
      </w:tblGrid>
      <w:tr>
        <w:trPr>
          <w:tblHeader w:val="true"/>
        </w:trPr>
        <w:tc>
          <w:tcPr>
            <w:tcW w:type="dxa" w:w="7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Module</w:t>
            </w:r>
          </w:p>
        </w:tc>
        <w:tc>
          <w:tcPr>
            <w:tcW w:type="dxa" w:w="2477"/>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Title</w:t>
            </w:r>
          </w:p>
        </w:tc>
        <w:tc>
          <w:tcPr>
            <w:tcW w:type="dxa" w:w="15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Mapped outcomes</w:t>
            </w:r>
          </w:p>
        </w:tc>
        <w:tc>
          <w:tcPr>
            <w:tcW w:type="dxa" w:w="25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Learning strategy</w:t>
            </w:r>
          </w:p>
        </w:tc>
        <w:tc>
          <w:tcPr>
            <w:tcW w:type="dxa" w:w="224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Assessment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M1</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Leadership identity and purpose</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1; PLO 2</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M2</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Executive presence and communication</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2; PLO 3</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M3</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Negotiation, influence and power</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3; PLO 4</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M4</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Leading teams and institutional change</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1</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M5</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Networks, mentorship and sponsorship</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2</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M6</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Leadership-impact project</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3</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bl>
    <w:p>
      <w:pPr>
        <w:spacing w:after="0"/>
      </w:pPr>
    </w:p>
    <w:p>
      <w:pPr>
        <w:pStyle w:val="Heading2"/>
      </w:pPr>
      <w:r>
        <w:t>Assessment strategy</w:t>
      </w: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APPROVED ASSESSMENT</w:t>
            </w:r>
          </w:p>
          <w:p>
            <w:pPr>
              <w:spacing w:after="0"/>
            </w:pPr>
            <w:r>
              <w:rPr>
                <w:color w:val="17202A"/>
                <w:sz w:val="18"/>
              </w:rPr>
              <w:t>Leadership plan 15%; communication exercise 20%; negotiation simulation 20%; impact project 45%.</w:t>
            </w:r>
          </w:p>
        </w:tc>
      </w:tr>
    </w:tbl>
    <w:p>
      <w:pPr>
        <w:spacing w:after="0"/>
      </w:pPr>
    </w:p>
    <w:p>
      <w:pPr>
        <w:pStyle w:val="Heading2"/>
      </w:pPr>
      <w:r>
        <w:t>Learning resources and facilitation</w:t>
      </w:r>
    </w:p>
    <w:p>
      <w:pPr>
        <w:pStyle w:val="ListBullet"/>
        <w:ind w:left="317" w:hanging="173"/>
      </w:pPr>
      <w:r>
        <w:t>Programme handbook, module guides and curated reading/resource list.</w:t>
      </w:r>
    </w:p>
    <w:p>
      <w:pPr>
        <w:pStyle w:val="ListBullet"/>
        <w:ind w:left="317" w:hanging="173"/>
      </w:pPr>
      <w:r>
        <w:t>Context-specific case studies and institutional datasets where authorised.</w:t>
      </w:r>
    </w:p>
    <w:p>
      <w:pPr>
        <w:pStyle w:val="ListBullet"/>
        <w:ind w:left="317" w:hanging="173"/>
      </w:pPr>
      <w:r>
        <w:t>Qualified lead faculty, guest experts and learning-support personnel.</w:t>
      </w:r>
    </w:p>
    <w:p>
      <w:pPr>
        <w:pStyle w:val="ListBullet"/>
        <w:ind w:left="317" w:hanging="173"/>
      </w:pPr>
      <w:r>
        <w:t>Learning-management system access for resources, communication, assessment and feedback.</w:t>
      </w:r>
    </w:p>
    <w:p>
      <w:pPr>
        <w:pStyle w:val="ListBullet"/>
        <w:ind w:left="317" w:hanging="173"/>
      </w:pPr>
      <w:r>
        <w:t>Reasonable adjustment plan and contingency arrangements for disrupted delivery.</w:t>
      </w:r>
    </w:p>
    <w:p>
      <w:r>
        <w:br w:type="page"/>
      </w:r>
    </w:p>
    <w:p>
      <w:pPr>
        <w:pStyle w:val="Heading1"/>
      </w:pPr>
      <w:r>
        <w:t>Programme Specification: HLMG-607 — Hospital Leadership, Management &amp; Governance</w:t>
      </w:r>
    </w:p>
    <w:tbl>
      <w:tblPr>
        <w:tblW w:type="auto" w:w="0"/>
        <w:jc w:val="center"/>
        <w:tblLayout w:type="fixed"/>
        <w:tblLook w:firstColumn="1" w:firstRow="1" w:lastColumn="0" w:lastRow="0" w:noHBand="0" w:noVBand="1" w:val="04A0"/>
      </w:tblPr>
      <w:tblGrid>
        <w:gridCol w:w="4917"/>
        <w:gridCol w:w="4917"/>
      </w:tblGrid>
      <w:tr>
        <w:tc>
          <w:tcPr>
            <w:tcW w:type="dxa" w:w="2520"/>
            <w:shd w:fill="0B1F3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FFFFFF"/>
                <w:sz w:val="17"/>
              </w:rPr>
              <w:t>Programme code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HLMG-607</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Programme title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Hospital Leadership, Management &amp; Governance</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Award</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Advanced Professional Certificate</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Level</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Advanced professional</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Duration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6 modules / 24 sessions / 48 contact hours</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Mode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Blended</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Target participants</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Hospital boards, directors, clinical leaders, nursing leaders, administrators, quality teams and health-system managers.</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Approval status</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[Academic Council approval reference]</w:t>
            </w:r>
          </w:p>
        </w:tc>
      </w:tr>
    </w:tbl>
    <w:p>
      <w:pPr>
        <w:pStyle w:val="Heading2"/>
      </w:pPr>
      <w:r>
        <w:t>Rationale and purpose</w:t>
      </w:r>
    </w:p>
    <w:p>
      <w:r>
        <w:t>Institutionalise ethical governance, disciplined management, quality improvement, patient safety and accountable hospital performance.</w:t>
      </w:r>
    </w:p>
    <w:p>
      <w:pPr>
        <w:pStyle w:val="Heading2"/>
      </w:pPr>
      <w:r>
        <w:t>Programme learning outcomes</w:t>
      </w:r>
    </w:p>
    <w:p>
      <w:r>
        <w:t>PLO 1. Clarify hospital governance and executive accountabilities.</w:t>
      </w:r>
    </w:p>
    <w:p>
      <w:r>
        <w:t>PLO 2. Use performance, quality and financial information for decisions.</w:t>
      </w:r>
    </w:p>
    <w:p>
      <w:r>
        <w:t>PLO 3. Lead patient-safety and clinical-governance improvement.</w:t>
      </w:r>
    </w:p>
    <w:p>
      <w:r>
        <w:t>PLO 4. Produce a 90-day hospital transformation action plan.</w:t>
      </w:r>
    </w:p>
    <w:p>
      <w:pPr>
        <w:pStyle w:val="Heading2"/>
      </w:pPr>
      <w:r>
        <w:t>Curriculum map</w:t>
      </w:r>
    </w:p>
    <w:tbl>
      <w:tblPr>
        <w:tblW w:type="auto" w:w="0"/>
        <w:jc w:val="center"/>
        <w:tblLayout w:type="fixed"/>
        <w:tblLook w:firstColumn="1" w:firstRow="1" w:lastColumn="0" w:lastRow="0" w:noHBand="0" w:noVBand="1" w:val="04A0"/>
      </w:tblPr>
      <w:tblGrid>
        <w:gridCol w:w="1967"/>
        <w:gridCol w:w="1967"/>
        <w:gridCol w:w="1967"/>
        <w:gridCol w:w="1967"/>
        <w:gridCol w:w="1967"/>
      </w:tblGrid>
      <w:tr>
        <w:trPr>
          <w:tblHeader w:val="true"/>
        </w:trPr>
        <w:tc>
          <w:tcPr>
            <w:tcW w:type="dxa" w:w="7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Module</w:t>
            </w:r>
          </w:p>
        </w:tc>
        <w:tc>
          <w:tcPr>
            <w:tcW w:type="dxa" w:w="2477"/>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Title</w:t>
            </w:r>
          </w:p>
        </w:tc>
        <w:tc>
          <w:tcPr>
            <w:tcW w:type="dxa" w:w="15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Mapped outcomes</w:t>
            </w:r>
          </w:p>
        </w:tc>
        <w:tc>
          <w:tcPr>
            <w:tcW w:type="dxa" w:w="25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Learning strategy</w:t>
            </w:r>
          </w:p>
        </w:tc>
        <w:tc>
          <w:tcPr>
            <w:tcW w:type="dxa" w:w="224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Assessment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M1</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Hospital governance, leadership and accountability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1; PLO 2</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M2</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Strategy, operations and performance management</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2; PLO 3</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M3</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Quality, patient safety and clinical governance</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3; PLO 4</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M4</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Workforce leadership and organisational culture</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1</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M5</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Financial, supply-chain and asset stewardship</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2</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M6</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Emergency readiness and transformation capstone</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3</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bl>
    <w:p>
      <w:pPr>
        <w:spacing w:after="0"/>
      </w:pPr>
    </w:p>
    <w:p>
      <w:pPr>
        <w:pStyle w:val="Heading2"/>
      </w:pPr>
      <w:r>
        <w:t>Assessment strategy</w:t>
      </w: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APPROVED ASSESSMENT</w:t>
            </w:r>
          </w:p>
          <w:p>
            <w:pPr>
              <w:spacing w:after="0"/>
            </w:pPr>
            <w:r>
              <w:rPr>
                <w:color w:val="17202A"/>
                <w:sz w:val="18"/>
              </w:rPr>
              <w:t>Pre/post assessment 10%; applied assignments 25%; participation and simulations 15%; capstone action plan 50%.</w:t>
            </w:r>
          </w:p>
        </w:tc>
      </w:tr>
    </w:tbl>
    <w:p>
      <w:pPr>
        <w:spacing w:after="0"/>
      </w:pPr>
    </w:p>
    <w:p>
      <w:pPr>
        <w:pStyle w:val="Heading2"/>
      </w:pPr>
      <w:r>
        <w:t>Learning resources and facilitation</w:t>
      </w:r>
    </w:p>
    <w:p>
      <w:pPr>
        <w:pStyle w:val="ListBullet"/>
        <w:ind w:left="317" w:hanging="173"/>
      </w:pPr>
      <w:r>
        <w:t>Programme handbook, module guides and curated reading/resource list.</w:t>
      </w:r>
    </w:p>
    <w:p>
      <w:pPr>
        <w:pStyle w:val="ListBullet"/>
        <w:ind w:left="317" w:hanging="173"/>
      </w:pPr>
      <w:r>
        <w:t>Context-specific case studies and institutional datasets where authorised.</w:t>
      </w:r>
    </w:p>
    <w:p>
      <w:pPr>
        <w:pStyle w:val="ListBullet"/>
        <w:ind w:left="317" w:hanging="173"/>
      </w:pPr>
      <w:r>
        <w:t>Qualified lead faculty, guest experts and learning-support personnel.</w:t>
      </w:r>
    </w:p>
    <w:p>
      <w:pPr>
        <w:pStyle w:val="ListBullet"/>
        <w:ind w:left="317" w:hanging="173"/>
      </w:pPr>
      <w:r>
        <w:t>Learning-management system access for resources, communication, assessment and feedback.</w:t>
      </w:r>
    </w:p>
    <w:p>
      <w:pPr>
        <w:pStyle w:val="ListBullet"/>
        <w:ind w:left="317" w:hanging="173"/>
      </w:pPr>
      <w:r>
        <w:t>Reasonable adjustment plan and contingency arrangements for disrupted delivery.</w:t>
      </w:r>
    </w:p>
    <w:p>
      <w:r>
        <w:br w:type="page"/>
      </w:r>
    </w:p>
    <w:p>
      <w:pPr>
        <w:pStyle w:val="Heading1"/>
      </w:pPr>
      <w:r>
        <w:t>Programme Specification: IRM-608 — Institutional Reform &amp; Modernisation</w:t>
      </w:r>
    </w:p>
    <w:tbl>
      <w:tblPr>
        <w:tblW w:type="auto" w:w="0"/>
        <w:jc w:val="center"/>
        <w:tblLayout w:type="fixed"/>
        <w:tblLook w:firstColumn="1" w:firstRow="1" w:lastColumn="0" w:lastRow="0" w:noHBand="0" w:noVBand="1" w:val="04A0"/>
      </w:tblPr>
      <w:tblGrid>
        <w:gridCol w:w="4917"/>
        <w:gridCol w:w="4917"/>
      </w:tblGrid>
      <w:tr>
        <w:tc>
          <w:tcPr>
            <w:tcW w:type="dxa" w:w="2520"/>
            <w:shd w:fill="0B1F3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FFFFFF"/>
                <w:sz w:val="17"/>
              </w:rPr>
              <w:t>Programme code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IRM-608</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Programme title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Institutional Reform &amp; Modernisation</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Award</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Executive Diploma pathway module</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Level</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Executive / institutional</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Duration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10 weeks / 60 learning hours</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Mode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In-person / advisory</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Target participants</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Reform secretariats, ministry leadership teams, agencies, public enterprises and institutional-development partners.</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Approval status</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[Academic Council approval reference]</w:t>
            </w:r>
          </w:p>
        </w:tc>
      </w:tr>
    </w:tbl>
    <w:p>
      <w:pPr>
        <w:pStyle w:val="Heading2"/>
      </w:pPr>
      <w:r>
        <w:t>Rationale and purpose</w:t>
      </w:r>
    </w:p>
    <w:p>
      <w:r>
        <w:t>Equip reform teams to diagnose institutions, redesign operating models and implement sequenced, politically feasible transformation.</w:t>
      </w:r>
    </w:p>
    <w:p>
      <w:pPr>
        <w:pStyle w:val="Heading2"/>
      </w:pPr>
      <w:r>
        <w:t>Programme learning outcomes</w:t>
      </w:r>
    </w:p>
    <w:p>
      <w:r>
        <w:t>PLO 1. Conduct mandate, capability and operating-model diagnostics.</w:t>
      </w:r>
    </w:p>
    <w:p>
      <w:r>
        <w:t>PLO 2. Prioritise reform options using feasibility and public-value criteria.</w:t>
      </w:r>
    </w:p>
    <w:p>
      <w:r>
        <w:t>PLO 3. Develop governance, people, process and digital workstreams.</w:t>
      </w:r>
    </w:p>
    <w:p>
      <w:r>
        <w:t>PLO 4. Establish a benefits, risk and implementation dashboard.</w:t>
      </w:r>
    </w:p>
    <w:p>
      <w:pPr>
        <w:pStyle w:val="Heading2"/>
      </w:pPr>
      <w:r>
        <w:t>Curriculum map</w:t>
      </w:r>
    </w:p>
    <w:tbl>
      <w:tblPr>
        <w:tblW w:type="auto" w:w="0"/>
        <w:jc w:val="center"/>
        <w:tblLayout w:type="fixed"/>
        <w:tblLook w:firstColumn="1" w:firstRow="1" w:lastColumn="0" w:lastRow="0" w:noHBand="0" w:noVBand="1" w:val="04A0"/>
      </w:tblPr>
      <w:tblGrid>
        <w:gridCol w:w="1967"/>
        <w:gridCol w:w="1967"/>
        <w:gridCol w:w="1967"/>
        <w:gridCol w:w="1967"/>
        <w:gridCol w:w="1967"/>
      </w:tblGrid>
      <w:tr>
        <w:trPr>
          <w:tblHeader w:val="true"/>
        </w:trPr>
        <w:tc>
          <w:tcPr>
            <w:tcW w:type="dxa" w:w="7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Module</w:t>
            </w:r>
          </w:p>
        </w:tc>
        <w:tc>
          <w:tcPr>
            <w:tcW w:type="dxa" w:w="2477"/>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Title</w:t>
            </w:r>
          </w:p>
        </w:tc>
        <w:tc>
          <w:tcPr>
            <w:tcW w:type="dxa" w:w="15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Mapped outcomes</w:t>
            </w:r>
          </w:p>
        </w:tc>
        <w:tc>
          <w:tcPr>
            <w:tcW w:type="dxa" w:w="25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Learning strategy</w:t>
            </w:r>
          </w:p>
        </w:tc>
        <w:tc>
          <w:tcPr>
            <w:tcW w:type="dxa" w:w="224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Assessment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M1</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Institutional diagnosis</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1; PLO 2</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M2</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Mandates, structures and operating models</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2; PLO 3</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M3</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Business-process redesign</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3; PLO 4</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M4</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People, culture and capability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1</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M5</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Digital government and service innovation</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2</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M6</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Implementation, risk and benefits realisation</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3</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bl>
    <w:p>
      <w:pPr>
        <w:spacing w:after="0"/>
      </w:pPr>
    </w:p>
    <w:p>
      <w:pPr>
        <w:pStyle w:val="Heading2"/>
      </w:pPr>
      <w:r>
        <w:t>Assessment strategy</w:t>
      </w: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APPROVED ASSESSMENT</w:t>
            </w:r>
          </w:p>
          <w:p>
            <w:pPr>
              <w:spacing w:after="0"/>
            </w:pPr>
            <w:r>
              <w:rPr>
                <w:color w:val="17202A"/>
                <w:sz w:val="18"/>
              </w:rPr>
              <w:t>Diagnostic 25%; redesign workshop 20%; implementation dashboard 20%; reform blueprint 35%.</w:t>
            </w:r>
          </w:p>
        </w:tc>
      </w:tr>
    </w:tbl>
    <w:p>
      <w:pPr>
        <w:spacing w:after="0"/>
      </w:pPr>
    </w:p>
    <w:p>
      <w:pPr>
        <w:pStyle w:val="Heading2"/>
      </w:pPr>
      <w:r>
        <w:t>Learning resources and facilitation</w:t>
      </w:r>
    </w:p>
    <w:p>
      <w:pPr>
        <w:pStyle w:val="ListBullet"/>
        <w:ind w:left="317" w:hanging="173"/>
      </w:pPr>
      <w:r>
        <w:t>Programme handbook, module guides and curated reading/resource list.</w:t>
      </w:r>
    </w:p>
    <w:p>
      <w:pPr>
        <w:pStyle w:val="ListBullet"/>
        <w:ind w:left="317" w:hanging="173"/>
      </w:pPr>
      <w:r>
        <w:t>Context-specific case studies and institutional datasets where authorised.</w:t>
      </w:r>
    </w:p>
    <w:p>
      <w:pPr>
        <w:pStyle w:val="ListBullet"/>
        <w:ind w:left="317" w:hanging="173"/>
      </w:pPr>
      <w:r>
        <w:t>Qualified lead faculty, guest experts and learning-support personnel.</w:t>
      </w:r>
    </w:p>
    <w:p>
      <w:pPr>
        <w:pStyle w:val="ListBullet"/>
        <w:ind w:left="317" w:hanging="173"/>
      </w:pPr>
      <w:r>
        <w:t>Learning-management system access for resources, communication, assessment and feedback.</w:t>
      </w:r>
    </w:p>
    <w:p>
      <w:pPr>
        <w:pStyle w:val="ListBullet"/>
        <w:ind w:left="317" w:hanging="173"/>
      </w:pPr>
      <w:r>
        <w:t>Reasonable adjustment plan and contingency arrangements for disrupted delivery.</w:t>
      </w:r>
    </w:p>
    <w:p>
      <w:r>
        <w:br w:type="page"/>
      </w:r>
    </w:p>
    <w:p>
      <w:pPr>
        <w:pStyle w:val="Heading1"/>
      </w:pPr>
      <w:r>
        <w:t>Programme Specification: RPP-609 — Applied Research, Policy &amp; Publishing</w:t>
      </w:r>
    </w:p>
    <w:tbl>
      <w:tblPr>
        <w:tblW w:type="auto" w:w="0"/>
        <w:jc w:val="center"/>
        <w:tblLayout w:type="fixed"/>
        <w:tblLook w:firstColumn="1" w:firstRow="1" w:lastColumn="0" w:lastRow="0" w:noHBand="0" w:noVBand="1" w:val="04A0"/>
      </w:tblPr>
      <w:tblGrid>
        <w:gridCol w:w="4917"/>
        <w:gridCol w:w="4917"/>
      </w:tblGrid>
      <w:tr>
        <w:tc>
          <w:tcPr>
            <w:tcW w:type="dxa" w:w="2520"/>
            <w:shd w:fill="0B1F3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FFFFFF"/>
                <w:sz w:val="17"/>
              </w:rPr>
              <w:t>Programme code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RPP-609</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Programme title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Applied Research, Policy &amp; Publishing</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Award</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Professional Certificate</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Level</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Professional / postgraduate</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Duration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8 weeks / 48 learning hours</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Mode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Online / blended</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Target participants</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Researchers, academics, policy analysts, practitioners, postgraduate learners and aspiring authors.</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Approval status</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[Academic Council approval reference]</w:t>
            </w:r>
          </w:p>
        </w:tc>
      </w:tr>
    </w:tbl>
    <w:p>
      <w:pPr>
        <w:pStyle w:val="Heading2"/>
      </w:pPr>
      <w:r>
        <w:t>Rationale and purpose</w:t>
      </w:r>
    </w:p>
    <w:p>
      <w:r>
        <w:t>Develop rigorous, ethical and policy-relevant research from question formulation through publication and knowledge translation.</w:t>
      </w:r>
    </w:p>
    <w:p>
      <w:pPr>
        <w:pStyle w:val="Heading2"/>
      </w:pPr>
      <w:r>
        <w:t>Programme learning outcomes</w:t>
      </w:r>
    </w:p>
    <w:p>
      <w:r>
        <w:t>PLO 1. Develop answerable research and policy questions.</w:t>
      </w:r>
    </w:p>
    <w:p>
      <w:r>
        <w:t>PLO 2. Select appropriate qualitative, quantitative or mixed methods.</w:t>
      </w:r>
    </w:p>
    <w:p>
      <w:r>
        <w:t>PLO 3. Apply research ethics, data stewardship and responsible AI practices.</w:t>
      </w:r>
    </w:p>
    <w:p>
      <w:r>
        <w:t>PLO 4. Prepare a submission-ready manuscript, policy brief or working paper.</w:t>
      </w:r>
    </w:p>
    <w:p>
      <w:pPr>
        <w:pStyle w:val="Heading2"/>
      </w:pPr>
      <w:r>
        <w:t>Curriculum map</w:t>
      </w:r>
    </w:p>
    <w:tbl>
      <w:tblPr>
        <w:tblW w:type="auto" w:w="0"/>
        <w:jc w:val="center"/>
        <w:tblLayout w:type="fixed"/>
        <w:tblLook w:firstColumn="1" w:firstRow="1" w:lastColumn="0" w:lastRow="0" w:noHBand="0" w:noVBand="1" w:val="04A0"/>
      </w:tblPr>
      <w:tblGrid>
        <w:gridCol w:w="1967"/>
        <w:gridCol w:w="1967"/>
        <w:gridCol w:w="1967"/>
        <w:gridCol w:w="1967"/>
        <w:gridCol w:w="1967"/>
      </w:tblGrid>
      <w:tr>
        <w:trPr>
          <w:tblHeader w:val="true"/>
        </w:trPr>
        <w:tc>
          <w:tcPr>
            <w:tcW w:type="dxa" w:w="7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Module</w:t>
            </w:r>
          </w:p>
        </w:tc>
        <w:tc>
          <w:tcPr>
            <w:tcW w:type="dxa" w:w="2477"/>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Title</w:t>
            </w:r>
          </w:p>
        </w:tc>
        <w:tc>
          <w:tcPr>
            <w:tcW w:type="dxa" w:w="15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Mapped outcomes</w:t>
            </w:r>
          </w:p>
        </w:tc>
        <w:tc>
          <w:tcPr>
            <w:tcW w:type="dxa" w:w="25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Learning strategy</w:t>
            </w:r>
          </w:p>
        </w:tc>
        <w:tc>
          <w:tcPr>
            <w:tcW w:type="dxa" w:w="224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Assessment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M1</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Research questions and evidence architecture</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1; PLO 2</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M2</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Study designs and sampling</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2; PLO 3</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M3</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Data quality, analysis and interpretation</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3; PLO 4</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M4</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Research ethics and data governance</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1</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M5</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Academic writing and peer review</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2</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M6</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Publishing and knowledge translation</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PLO 4; PLO 3</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Workshop, case, clinic or guided online activity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Applied task / evidence</w:t>
            </w:r>
          </w:p>
        </w:tc>
      </w:tr>
    </w:tbl>
    <w:p>
      <w:pPr>
        <w:spacing w:after="0"/>
      </w:pPr>
    </w:p>
    <w:p>
      <w:pPr>
        <w:pStyle w:val="Heading2"/>
      </w:pPr>
      <w:r>
        <w:t>Assessment strategy</w:t>
      </w: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APPROVED ASSESSMENT</w:t>
            </w:r>
          </w:p>
          <w:p>
            <w:pPr>
              <w:spacing w:after="0"/>
            </w:pPr>
            <w:r>
              <w:rPr>
                <w:color w:val="17202A"/>
                <w:sz w:val="18"/>
              </w:rPr>
              <w:t>Protocol 25%; data/critical-appraisal exercise 20%; peer-review exercise 15%; final publication product 40%.</w:t>
            </w:r>
          </w:p>
        </w:tc>
      </w:tr>
    </w:tbl>
    <w:p>
      <w:pPr>
        <w:spacing w:after="0"/>
      </w:pPr>
    </w:p>
    <w:p>
      <w:pPr>
        <w:pStyle w:val="Heading2"/>
      </w:pPr>
      <w:r>
        <w:t>Learning resources and facilitation</w:t>
      </w:r>
    </w:p>
    <w:p>
      <w:pPr>
        <w:pStyle w:val="ListBullet"/>
        <w:ind w:left="317" w:hanging="173"/>
      </w:pPr>
      <w:r>
        <w:t>Programme handbook, module guides and curated reading/resource list.</w:t>
      </w:r>
    </w:p>
    <w:p>
      <w:pPr>
        <w:pStyle w:val="ListBullet"/>
        <w:ind w:left="317" w:hanging="173"/>
      </w:pPr>
      <w:r>
        <w:t>Context-specific case studies and institutional datasets where authorised.</w:t>
      </w:r>
    </w:p>
    <w:p>
      <w:pPr>
        <w:pStyle w:val="ListBullet"/>
        <w:ind w:left="317" w:hanging="173"/>
      </w:pPr>
      <w:r>
        <w:t>Qualified lead faculty, guest experts and learning-support personnel.</w:t>
      </w:r>
    </w:p>
    <w:p>
      <w:pPr>
        <w:pStyle w:val="ListBullet"/>
        <w:ind w:left="317" w:hanging="173"/>
      </w:pPr>
      <w:r>
        <w:t>Learning-management system access for resources, communication, assessment and feedback.</w:t>
      </w:r>
    </w:p>
    <w:p>
      <w:pPr>
        <w:pStyle w:val="ListBullet"/>
        <w:ind w:left="317" w:hanging="173"/>
      </w:pPr>
      <w:r>
        <w:t>Reasonable adjustment plan and contingency arrangements for disrupted delivery.</w:t>
      </w:r>
    </w:p>
    <w:p>
      <w:pPr>
        <w:pStyle w:val="Heading1"/>
      </w:pPr>
      <w:r>
        <w:t>Reference framework and source notes</w:t>
      </w:r>
    </w:p>
    <w:p>
      <w:r>
        <w:t>This document should be read with current Somali law, RIYAADA governing instruments and applicable international standards. External references are used for alignment and do not imply certification, accreditation or formal endorsement.</w:t>
      </w:r>
    </w:p>
    <w:p>
      <w:pPr>
        <w:pStyle w:val="ListBullet"/>
      </w:pPr>
      <w:r>
        <w:t>RIYAADA Academic Programme Development and Approval Procedure.</w:t>
      </w:r>
    </w:p>
    <w:p>
      <w:pPr>
        <w:pStyle w:val="ListBullet"/>
      </w:pPr>
      <w:r>
        <w:t>Bloom-style observable outcome design adapted for executive and professional education.</w:t>
      </w:r>
    </w:p>
    <w:p>
      <w:pPr>
        <w:pStyle w:val="ListBullet"/>
      </w:pPr>
      <w:r>
        <w:t>Current programme catalogue and approved course files.</w:t>
      </w:r>
    </w:p>
    <w:p>
      <w:pPr>
        <w:pStyle w:val="Heading1"/>
      </w:pPr>
      <w:r>
        <w:t>Implementation record</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259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Action</w:t>
            </w:r>
          </w:p>
        </w:tc>
        <w:tc>
          <w:tcPr>
            <w:tcW w:type="dxa" w:w="25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Owner</w:t>
            </w:r>
          </w:p>
        </w:tc>
        <w:tc>
          <w:tcPr>
            <w:tcW w:type="dxa" w:w="15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Due date</w:t>
            </w:r>
          </w:p>
        </w:tc>
        <w:tc>
          <w:tcPr>
            <w:tcW w:type="dxa" w:w="285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Evidence / status</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Approval and publication</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Academic Council / Quality Assurance &amp; Standards Unit</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[Board minute / approval reference]</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Staff briefing and learner communication</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Relevant directorate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[Briefing record / webpage]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Systems and forms configured</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Digital Learning / Registry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[Configuration test / form register]</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First compliance review</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Academic Council / Quality Assurance &amp; Standards Unit</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[Audit report / improvement log]</w:t>
            </w:r>
          </w:p>
        </w:tc>
      </w:tr>
    </w:tbl>
    <w:p>
      <w:pPr>
        <w:spacing w:after="0"/>
      </w:pP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VERSION CONTROL</w:t>
            </w:r>
          </w:p>
          <w:p>
            <w:pPr>
              <w:spacing w:after="0"/>
            </w:pPr>
            <w:r>
              <w:rPr>
                <w:color w:val="17202A"/>
                <w:sz w:val="18"/>
              </w:rPr>
              <w:t>Only the version held in the RIYAADA controlled document repository is authoritative. Obsolete versions must be archived, watermarked “Superseded”, and removed from active webpages and shared drives.</w:t>
            </w:r>
          </w:p>
        </w:tc>
      </w:tr>
    </w:tbl>
    <w:p>
      <w:pPr>
        <w:spacing w:after="0"/>
      </w:pPr>
    </w:p>
    <w:sectPr w:rsidR="00FC693F" w:rsidRPr="0006063C" w:rsidSect="00034616">
      <w:headerReference w:type="default" r:id="rId9"/>
      <w:footerReference w:type="default" r:id="rId10"/>
      <w:pgSz w:w="11909" w:h="16834"/>
      <w:pgMar w:top="1037" w:right="1037" w:bottom="1037" w:left="1037" w:header="360" w:footer="37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line="20" w:lineRule="exact"/>
    </w:pPr>
  </w:p>
  <w:tbl>
    <w:tblPr>
      <w:tblW w:type="auto" w:w="0"/>
      <w:jc w:val="center"/>
      <w:tblLayout w:type="fixed"/>
      <w:tblLook w:firstColumn="1" w:firstRow="1" w:lastColumn="0" w:lastRow="0" w:noHBand="0" w:noVBand="1" w:val="04A0"/>
    </w:tblPr>
    <w:tblGrid>
      <w:gridCol w:w="3274"/>
      <w:gridCol w:w="3274"/>
      <w:gridCol w:w="3274"/>
    </w:tblGrid>
    <w:tr>
      <w:tc>
        <w:tcPr>
          <w:tcW w:type="dxa" w:w="3528"/>
          <w:tcBorders>
            <w:top w:sz="8" w:val="single" w:color="D4A72C"/>
          </w:tcBorders>
          <w:tcMar>
            <w:top w:w="35" w:type="dxa"/>
            <w:start w:w="35" w:type="dxa"/>
            <w:bottom w:w="35" w:type="dxa"/>
            <w:end w:w="35" w:type="dxa"/>
          </w:tcMar>
        </w:tcPr>
        <w:p>
          <w:pPr>
            <w:spacing w:after="0"/>
          </w:pPr>
          <w:r>
            <w:rPr>
              <w:b/>
              <w:color w:val="0B1F3A"/>
              <w:sz w:val="14"/>
            </w:rPr>
            <w:t>RIYAADA  |  LEARN. QUALIFY. LEAD.</w:t>
          </w:r>
        </w:p>
      </w:tc>
      <w:tc>
        <w:tcPr>
          <w:tcW w:type="dxa" w:w="3456"/>
          <w:tcBorders>
            <w:top w:sz="8" w:val="single" w:color="D4A72C"/>
          </w:tcBorders>
          <w:tcMar>
            <w:top w:w="35" w:type="dxa"/>
            <w:start w:w="35" w:type="dxa"/>
            <w:bottom w:w="35" w:type="dxa"/>
            <w:end w:w="35" w:type="dxa"/>
          </w:tcMar>
        </w:tcPr>
        <w:p>
          <w:pPr>
            <w:spacing w:after="0"/>
            <w:jc w:val="center"/>
          </w:pPr>
          <w:r>
            <w:rPr>
              <w:color w:val="0F8B8D"/>
              <w:sz w:val="14"/>
            </w:rPr>
            <w:t>riyaadaacademy.com</w:t>
          </w:r>
        </w:p>
      </w:tc>
      <w:tc>
        <w:tcPr>
          <w:tcW w:type="dxa" w:w="2837"/>
          <w:tcBorders>
            <w:top w:sz="8" w:val="single" w:color="D4A72C"/>
          </w:tcBorders>
          <w:tcMar>
            <w:top w:w="35" w:type="dxa"/>
            <w:start w:w="35" w:type="dxa"/>
            <w:bottom w:w="35" w:type="dxa"/>
            <w:end w:w="35" w:type="dxa"/>
          </w:tcMar>
        </w:tcPr>
        <w:p>
          <w:pPr>
            <w:spacing w:after="0"/>
            <w:jc w:val="right"/>
          </w:pPr>
          <w:r>
            <w:rPr>
              <w:sz w:val="14"/>
            </w:rPr>
            <w:t xml:space="preserve">Page </w:t>
          </w:r>
          <w:r>
            <w:fldChar w:fldCharType="begin"/>
          </w:r>
          <w:r>
            <w:instrText xml:space="preserve">PAGE</w:instrText>
          </w:r>
          <w:r>
            <w:fldChar w:fldCharType="separate"/>
          </w:r>
          <w:r>
            <w:t>1</w:t>
          </w:r>
          <w:r>
            <w:fldChar w:fldCharType="end"/>
          </w:r>
          <w:r>
            <w:rPr>
              <w:sz w:val="14"/>
            </w:rPr>
            <w:t xml:space="preserve"> of </w:t>
          </w:r>
          <w:r>
            <w:fldChar w:fldCharType="begin"/>
          </w:r>
          <w:r>
            <w:instrText xml:space="preserve">NUMPAGES</w:instrText>
          </w:r>
          <w:r>
            <w:fldChar w:fldCharType="separate"/>
          </w:r>
          <w:r>
            <w:t>1</w:t>
          </w:r>
          <w: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p>
  <w:tbl>
    <w:tblPr>
      <w:tblW w:type="auto" w:w="0"/>
      <w:jc w:val="center"/>
      <w:tblLayout w:type="fixed"/>
      <w:tblLook w:firstColumn="1" w:firstRow="1" w:lastColumn="0" w:lastRow="0" w:noHBand="0" w:noVBand="1" w:val="04A0"/>
    </w:tblPr>
    <w:tblGrid>
      <w:gridCol w:w="3274"/>
      <w:gridCol w:w="3274"/>
      <w:gridCol w:w="3274"/>
    </w:tblGrid>
    <w:tr>
      <w:tc>
        <w:tcPr>
          <w:tcW w:type="dxa" w:w="864"/>
          <w:tcBorders>
            <w:bottom w:sz="8" w:val="single" w:color="D4A72C"/>
          </w:tcBorders>
          <w:tcMar>
            <w:top w:w="35" w:type="dxa"/>
            <w:start w:w="35" w:type="dxa"/>
            <w:bottom w:w="35" w:type="dxa"/>
            <w:end w:w="35" w:type="dxa"/>
          </w:tcMar>
        </w:tcPr>
        <w:p>
          <w:pPr>
            <w:jc w:val="center"/>
          </w:pPr>
          <w:r>
            <w:drawing>
              <wp:inline xmlns:a="http://schemas.openxmlformats.org/drawingml/2006/main" xmlns:pic="http://schemas.openxmlformats.org/drawingml/2006/picture">
                <wp:extent cx="384048" cy="384048"/>
                <wp:docPr id="1" name="Picture 1" descr="Image: item1.xml"/>
                <wp:cNvGraphicFramePr>
                  <a:graphicFrameLocks noChangeAspect="1"/>
                </wp:cNvGraphicFramePr>
                <a:graphic>
                  <a:graphicData uri="http://schemas.openxmlformats.org/drawingml/2006/picture">
                    <pic:pic>
                      <pic:nvPicPr>
                        <pic:cNvPr id="0" name="riyaada_mark.png"/>
                        <pic:cNvPicPr/>
                      </pic:nvPicPr>
                      <pic:blipFill>
                        <a:blip r:embed="rId1"/>
                        <a:stretch>
                          <a:fillRect/>
                        </a:stretch>
                      </pic:blipFill>
                      <pic:spPr>
                        <a:xfrm>
                          <a:off x="0" y="0"/>
                          <a:ext cx="384048" cy="384048"/>
                        </a:xfrm>
                        <a:prstGeom prst="rect"/>
                      </pic:spPr>
                    </pic:pic>
                  </a:graphicData>
                </a:graphic>
              </wp:inline>
            </w:drawing>
          </w:r>
        </w:p>
      </w:tc>
      <w:tc>
        <w:tcPr>
          <w:tcW w:type="dxa" w:w="6998"/>
          <w:tcBorders>
            <w:bottom w:sz="8" w:val="single" w:color="D4A72C"/>
          </w:tcBorders>
          <w:tcMar>
            <w:top w:w="35" w:type="dxa"/>
            <w:start w:w="35" w:type="dxa"/>
            <w:bottom w:w="35" w:type="dxa"/>
            <w:end w:w="35" w:type="dxa"/>
          </w:tcMar>
        </w:tcPr>
        <w:p>
          <w:pPr>
            <w:spacing w:after="0"/>
          </w:pPr>
          <w:r>
            <w:rPr>
              <w:b/>
              <w:color w:val="0B1F3A"/>
              <w:sz w:val="16"/>
            </w:rPr>
            <w:t>RIYAADA Institute for Leadership &amp; Governance</w:t>
          </w:r>
          <w:r>
            <w:rPr>
              <w:sz w:val="14"/>
            </w:rPr>
            <w:br/>
            <w:t>Curricula &amp; Syllabi</w:t>
          </w:r>
        </w:p>
      </w:tc>
      <w:tc>
        <w:tcPr>
          <w:tcW w:type="dxa" w:w="1958"/>
          <w:tcBorders>
            <w:bottom w:sz="8" w:val="single" w:color="D4A72C"/>
          </w:tcBorders>
          <w:tcMar>
            <w:top w:w="35" w:type="dxa"/>
            <w:start w:w="35" w:type="dxa"/>
            <w:bottom w:w="35" w:type="dxa"/>
            <w:end w:w="35" w:type="dxa"/>
          </w:tcMar>
        </w:tcPr>
        <w:p>
          <w:pPr>
            <w:spacing w:after="0"/>
            <w:jc w:val="right"/>
          </w:pPr>
          <w:r>
            <w:rPr>
              <w:b/>
              <w:color w:val="0F8B8D"/>
              <w:sz w:val="15"/>
            </w:rPr>
            <w:t>RIY-ACA-CUR-002</w:t>
          </w:r>
          <w:r>
            <w:rPr>
              <w:sz w:val="13"/>
            </w:rPr>
            <w:br/>
            <w:t>CONTROLLED</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720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0B1F3A"/>
      <w:sz w:val="36"/>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0B6668"/>
      <w:sz w:val="27"/>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D4A72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0B1F3A"/>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Aptos Display" w:hAnsi="Aptos Display"/>
      <w:b/>
      <w:i/>
      <w:iCs/>
      <w:color w:val="0F8B8D"/>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IYAADAEyebrow">
    <w:name w:val="RIYAADA Eyebrow"/>
    <w:pPr>
      <w:spacing w:after="80"/>
      <w:jc w:val="left"/>
    </w:pPr>
    <w:rPr>
      <w:rFonts w:ascii="Aptos" w:hAnsi="Aptos"/>
      <w:b/>
      <w:color w:val="D4A72C"/>
      <w:sz w:val="17"/>
    </w:rPr>
  </w:style>
  <w:style w:type="paragraph" w:customStyle="1" w:styleId="RIYAADALead">
    <w:name w:val="RIYAADA Lead"/>
    <w:pPr>
      <w:spacing w:after="80"/>
      <w:jc w:val="left"/>
    </w:pPr>
    <w:rPr>
      <w:rFonts w:ascii="Aptos" w:hAnsi="Aptos"/>
      <w:b w:val="0"/>
      <w:color w:val="5B6777"/>
      <w:sz w:val="24"/>
    </w:rPr>
  </w:style>
  <w:style w:type="paragraph" w:customStyle="1" w:styleId="RIYAADASmall">
    <w:name w:val="RIYAADA Small"/>
    <w:pPr>
      <w:spacing w:after="80"/>
      <w:jc w:val="left"/>
    </w:pPr>
    <w:rPr>
      <w:rFonts w:ascii="Aptos" w:hAnsi="Aptos"/>
      <w:b w:val="0"/>
      <w:color w:val="5B6777"/>
      <w:sz w:val="17"/>
    </w:rPr>
  </w:style>
  <w:style w:type="paragraph" w:customStyle="1" w:styleId="RIYAADAQuote">
    <w:name w:val="RIYAADA Quote"/>
    <w:pPr>
      <w:spacing w:after="80"/>
      <w:jc w:val="center"/>
    </w:pPr>
    <w:rPr>
      <w:rFonts w:ascii="Aptos" w:hAnsi="Aptos"/>
      <w:b w:val="0"/>
      <w:color w:val="163A5F"/>
      <w:sz w:val="22"/>
    </w:rPr>
  </w:style>
  <w:style w:type="paragraph" w:customStyle="1" w:styleId="RIYAADATable">
    <w:name w:val="RIYAADA Table"/>
    <w:pPr>
      <w:spacing w:after="80"/>
      <w:jc w:val="left"/>
    </w:pPr>
    <w:rPr>
      <w:rFonts w:ascii="Aptos" w:hAnsi="Aptos"/>
      <w:b w:val="0"/>
      <w:color w:val="17202A"/>
      <w:sz w:val="18"/>
    </w:rPr>
  </w:style>
  <w:style w:type="table" w:customStyle="1" w:styleId="RIYAADATableGrid">
    <w:name w:val="RIYAADA Table Grid"/>
    <w:rPr>
      <w:rFonts w:ascii="Aptos" w:hAnsi="Aptos"/>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 RIYAADA Course Curricula Syllabi Learning Outcomes 2026</dc:title>
  <dc:subject>RIYAADA institutional controlled document</dc:subject>
  <dc:creator>RIYAADA Institute for Leadership &amp; Governance</dc:creator>
  <cp:keywords>RIYAADA, leadership, governance, quality assurance, executive education</cp:keywords>
  <dc:description>Controlled draft prepared July 2026. Verify all editable fields before approval.</dc:description>
  <cp:lastModifiedBy/>
  <cp:revision>1</cp:revision>
  <dcterms:created xsi:type="dcterms:W3CDTF">2013-12-23T23:15:00Z</dcterms:created>
  <dcterms:modified xsi:type="dcterms:W3CDTF">2013-12-23T23:15:00Z</dcterms:modified>
  <cp:category/>
</cp:coreProperties>
</file>