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50"/>
        <w:pBdr>
          <w:bottom w:val="single" w:sz="14" w:space="1" w:color="C08A2E"/>
        </w:pBdr>
      </w:pPr>
    </w:p>
    <w:p>
      <w:pPr>
        <w:keepNext/>
        <w:spacing w:before="0" w:after="60" w:line="276" w:lineRule="auto"/>
        <w:jc w:val="center"/>
      </w:pPr>
      <w:r>
        <w:rPr>
          <w:rFonts w:ascii="Calibri" w:hAnsi="Calibri" w:eastAsia="Calibri"/>
          <w:b/>
          <w:i w:val="0"/>
          <w:caps w:val="0"/>
          <w:color w:val="13315C"/>
          <w:sz w:val="24"/>
        </w:rPr>
        <w:t>RIYAADA INSTITUTE FOR LEADERSHIP &amp; GOVERNANCE</w:t>
      </w:r>
    </w:p>
    <w:p>
      <w:pPr>
        <w:keepNext/>
        <w:spacing w:before="0" w:after="160" w:line="276" w:lineRule="auto"/>
        <w:jc w:val="center"/>
      </w:pPr>
      <w:r>
        <w:rPr>
          <w:rFonts w:ascii="Cambria" w:hAnsi="Cambria" w:eastAsia="Cambria"/>
          <w:b w:val="0"/>
          <w:i/>
          <w:caps w:val="0"/>
          <w:color w:val="13787F"/>
          <w:sz w:val="18"/>
        </w:rPr>
        <w:t>Educating Leaders. Producing Knowledge. Transforming Institutions.</w:t>
      </w:r>
    </w:p>
    <w:p>
      <w:pPr>
        <w:spacing w:before="0" w:after="190"/>
        <w:keepNext/>
        <w:pBdr>
          <w:bottom w:val="single" w:sz="5" w:space="1" w:color="C9D2DC"/>
        </w:pBdr>
      </w:pPr>
    </w:p>
    <w:p>
      <w:pPr>
        <w:keepNext/>
        <w:spacing w:before="0" w:after="240" w:line="276" w:lineRule="auto"/>
        <w:jc w:val="center"/>
      </w:pPr>
      <w:r>
        <w:rPr>
          <w:rFonts w:ascii="Calibri" w:hAnsi="Calibri" w:eastAsia="Calibri"/>
          <w:b/>
          <w:i w:val="0"/>
          <w:caps w:val="0"/>
          <w:color w:val="A5761F"/>
          <w:sz w:val="18"/>
        </w:rPr>
        <w:t>RIYAADA ACADEMY  •  OFFICE OF THE REGISTRAR</w:t>
      </w:r>
    </w:p>
    <w:p>
      <w:pPr>
        <w:keepNext/>
        <w:spacing w:before="80" w:after="30" w:line="240" w:lineRule="auto"/>
        <w:jc w:val="center"/>
      </w:pPr>
      <w:r>
        <w:rPr>
          <w:rFonts w:ascii="Cambria" w:hAnsi="Cambria" w:eastAsia="Cambria"/>
          <w:b/>
          <w:i w:val="0"/>
          <w:caps w:val="0"/>
          <w:color w:val="13315C"/>
          <w:sz w:val="45"/>
        </w:rPr>
        <w:t>ACADEMIC AND PROFESSIONAL</w:t>
      </w:r>
    </w:p>
    <w:p>
      <w:pPr>
        <w:keepNext/>
        <w:spacing w:before="30" w:after="30" w:line="240" w:lineRule="auto"/>
        <w:jc w:val="center"/>
      </w:pPr>
      <w:r>
        <w:rPr>
          <w:rFonts w:ascii="Cambria" w:hAnsi="Cambria" w:eastAsia="Cambria"/>
          <w:b/>
          <w:i w:val="0"/>
          <w:caps w:val="0"/>
          <w:color w:val="13315C"/>
          <w:sz w:val="45"/>
        </w:rPr>
        <w:t>PROGRAMME CATALOGUE</w:t>
      </w:r>
    </w:p>
    <w:p>
      <w:pPr>
        <w:keepNext/>
        <w:spacing w:before="90" w:after="150" w:line="276" w:lineRule="auto"/>
        <w:jc w:val="center"/>
      </w:pPr>
      <w:r>
        <w:rPr>
          <w:rFonts w:ascii="Calibri" w:hAnsi="Calibri" w:eastAsia="Calibri"/>
          <w:b/>
          <w:i w:val="0"/>
          <w:caps w:val="0"/>
          <w:color w:val="13787F"/>
          <w:sz w:val="23"/>
        </w:rPr>
        <w:t>2026 Edition  •  RIYAADA Academy Programme Portfolio</w:t>
      </w:r>
    </w:p>
    <w:p>
      <w:pPr>
        <w:spacing w:before="0" w:after="200" w:line="276" w:lineRule="auto"/>
        <w:jc w:val="center"/>
        <w:keepNext/>
        <w:pBdr>
          <w:bottom w:val="single" w:sz="10" w:space="5" w:color="C08A2E"/>
        </w:pBdr>
      </w:pPr>
      <w:r>
        <w:rPr>
          <w:rFonts w:ascii="Cambria" w:hAnsi="Cambria" w:eastAsia="Cambria"/>
          <w:b w:val="0"/>
          <w:i/>
          <w:caps w:val="0"/>
          <w:color w:val="5A6472"/>
          <w:sz w:val="19"/>
        </w:rPr>
        <w:t>Twenty-two executive and professional courses across four Schools, mapped to a five-level award framework.</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592"/>
        <w:gridCol w:w="6552"/>
      </w:tblGrid>
      <w:tr>
        <w:trPr>
          <w:cantSplit/>
        </w:trPr>
        <w:tc>
          <w:tcPr>
            <w:tcW w:type="dxa" w:w="2592"/>
            <w:shd w:fill="13315C" w:val="clear"/>
            <w:tcMar>
              <w:top w:w="80" w:type="dxa"/>
              <w:start w:w="100" w:type="dxa"/>
              <w:bottom w:w="80" w:type="dxa"/>
              <w:end w:w="100" w:type="dxa"/>
            </w:tcMar>
          </w:tcPr>
          <w:p>
            <w:r>
              <w:rPr>
                <w:rFonts w:ascii="Calibri" w:hAnsi="Calibri"/>
                <w:b/>
                <w:color w:val="FFFFFF"/>
                <w:sz w:val="17"/>
              </w:rPr>
              <w:t>Document code</w:t>
            </w:r>
          </w:p>
        </w:tc>
        <w:tc>
          <w:tcPr>
            <w:tcW w:type="dxa" w:w="6552"/>
            <w:shd w:fill="F3F7FB" w:val="clear"/>
            <w:tcMar>
              <w:top w:w="80" w:type="dxa"/>
              <w:start w:w="100" w:type="dxa"/>
              <w:bottom w:w="80" w:type="dxa"/>
              <w:end w:w="100" w:type="dxa"/>
            </w:tcMar>
          </w:tcPr>
          <w:p>
            <w:r>
              <w:rPr>
                <w:rFonts w:ascii="Cambria" w:hAnsi="Cambria"/>
                <w:b w:val="0"/>
                <w:color w:val="20242B"/>
                <w:sz w:val="18"/>
              </w:rPr>
              <w:t>RIYAADA-CAT-2026-001</w:t>
            </w:r>
          </w:p>
        </w:tc>
      </w:tr>
      <w:tr>
        <w:trPr>
          <w:cantSplit/>
        </w:trPr>
        <w:tc>
          <w:tcPr>
            <w:tcW w:type="dxa" w:w="2592"/>
            <w:shd w:fill="13315C" w:val="clear"/>
            <w:tcMar>
              <w:top w:w="80" w:type="dxa"/>
              <w:start w:w="100" w:type="dxa"/>
              <w:bottom w:w="80" w:type="dxa"/>
              <w:end w:w="100" w:type="dxa"/>
            </w:tcMar>
          </w:tcPr>
          <w:p>
            <w:r>
              <w:rPr>
                <w:rFonts w:ascii="Calibri" w:hAnsi="Calibri"/>
                <w:b/>
                <w:color w:val="FFFFFF"/>
                <w:sz w:val="17"/>
              </w:rPr>
              <w:t>Version / edition</w:t>
            </w:r>
          </w:p>
        </w:tc>
        <w:tc>
          <w:tcPr>
            <w:tcW w:type="dxa" w:w="6552"/>
            <w:shd w:fill="F3F7FB" w:val="clear"/>
            <w:tcMar>
              <w:top w:w="80" w:type="dxa"/>
              <w:start w:w="100" w:type="dxa"/>
              <w:bottom w:w="80" w:type="dxa"/>
              <w:end w:w="100" w:type="dxa"/>
            </w:tcMar>
          </w:tcPr>
          <w:p>
            <w:r>
              <w:rPr>
                <w:rFonts w:ascii="Cambria" w:hAnsi="Cambria"/>
                <w:b w:val="0"/>
                <w:color w:val="20242B"/>
                <w:sz w:val="18"/>
              </w:rPr>
              <w:t>Version 1.0  —  First Edition 2026</w:t>
            </w:r>
          </w:p>
        </w:tc>
      </w:tr>
      <w:tr>
        <w:trPr>
          <w:cantSplit/>
        </w:trPr>
        <w:tc>
          <w:tcPr>
            <w:tcW w:type="dxa" w:w="2592"/>
            <w:shd w:fill="13315C" w:val="clear"/>
            <w:tcMar>
              <w:top w:w="80" w:type="dxa"/>
              <w:start w:w="100" w:type="dxa"/>
              <w:bottom w:w="80" w:type="dxa"/>
              <w:end w:w="100" w:type="dxa"/>
            </w:tcMar>
          </w:tcPr>
          <w:p>
            <w:r>
              <w:rPr>
                <w:rFonts w:ascii="Calibri" w:hAnsi="Calibri"/>
                <w:b/>
                <w:color w:val="FFFFFF"/>
                <w:sz w:val="17"/>
              </w:rPr>
              <w:t>Status</w:t>
            </w:r>
          </w:p>
        </w:tc>
        <w:tc>
          <w:tcPr>
            <w:tcW w:type="dxa" w:w="6552"/>
            <w:shd w:fill="F3F7FB" w:val="clear"/>
            <w:tcMar>
              <w:top w:w="80" w:type="dxa"/>
              <w:start w:w="100" w:type="dxa"/>
              <w:bottom w:w="80" w:type="dxa"/>
              <w:end w:w="100" w:type="dxa"/>
            </w:tcMar>
          </w:tcPr>
          <w:p>
            <w:r>
              <w:rPr>
                <w:rFonts w:ascii="Cambria" w:hAnsi="Cambria"/>
                <w:b w:val="0"/>
                <w:color w:val="20242B"/>
                <w:sz w:val="18"/>
              </w:rPr>
              <w:t>Approved for institutional use and external circulation</w:t>
            </w:r>
          </w:p>
        </w:tc>
      </w:tr>
      <w:tr>
        <w:trPr>
          <w:cantSplit/>
        </w:trPr>
        <w:tc>
          <w:tcPr>
            <w:tcW w:type="dxa" w:w="2592"/>
            <w:shd w:fill="13315C" w:val="clear"/>
            <w:tcMar>
              <w:top w:w="80" w:type="dxa"/>
              <w:start w:w="100" w:type="dxa"/>
              <w:bottom w:w="80" w:type="dxa"/>
              <w:end w:w="100" w:type="dxa"/>
            </w:tcMar>
          </w:tcPr>
          <w:p>
            <w:r>
              <w:rPr>
                <w:rFonts w:ascii="Calibri" w:hAnsi="Calibri"/>
                <w:b/>
                <w:color w:val="FFFFFF"/>
                <w:sz w:val="17"/>
              </w:rPr>
              <w:t>Prepared by</w:t>
            </w:r>
          </w:p>
        </w:tc>
        <w:tc>
          <w:tcPr>
            <w:tcW w:type="dxa" w:w="6552"/>
            <w:shd w:fill="F3F7FB" w:val="clear"/>
            <w:tcMar>
              <w:top w:w="80" w:type="dxa"/>
              <w:start w:w="100" w:type="dxa"/>
              <w:bottom w:w="80" w:type="dxa"/>
              <w:end w:w="100" w:type="dxa"/>
            </w:tcMar>
          </w:tcPr>
          <w:p>
            <w:r>
              <w:rPr>
                <w:rFonts w:ascii="Cambria" w:hAnsi="Cambria"/>
                <w:b w:val="0"/>
                <w:color w:val="20242B"/>
                <w:sz w:val="18"/>
              </w:rPr>
              <w:t>Curriculum &amp; Programmes Unit, RIYAADA Academy</w:t>
            </w:r>
          </w:p>
        </w:tc>
      </w:tr>
      <w:tr>
        <w:trPr>
          <w:cantSplit/>
        </w:trPr>
        <w:tc>
          <w:tcPr>
            <w:tcW w:type="dxa" w:w="2592"/>
            <w:shd w:fill="13315C" w:val="clear"/>
            <w:tcMar>
              <w:top w:w="80" w:type="dxa"/>
              <w:start w:w="100" w:type="dxa"/>
              <w:bottom w:w="80" w:type="dxa"/>
              <w:end w:w="100" w:type="dxa"/>
            </w:tcMar>
          </w:tcPr>
          <w:p>
            <w:r>
              <w:rPr>
                <w:rFonts w:ascii="Calibri" w:hAnsi="Calibri"/>
                <w:b/>
                <w:color w:val="FFFFFF"/>
                <w:sz w:val="17"/>
              </w:rPr>
              <w:t>Approved by</w:t>
            </w:r>
          </w:p>
        </w:tc>
        <w:tc>
          <w:tcPr>
            <w:tcW w:type="dxa" w:w="6552"/>
            <w:shd w:fill="F3F7FB" w:val="clear"/>
            <w:tcMar>
              <w:top w:w="80" w:type="dxa"/>
              <w:start w:w="100" w:type="dxa"/>
              <w:bottom w:w="80" w:type="dxa"/>
              <w:end w:w="100" w:type="dxa"/>
            </w:tcMar>
          </w:tcPr>
          <w:p>
            <w:r>
              <w:rPr>
                <w:rFonts w:ascii="Cambria" w:hAnsi="Cambria"/>
                <w:b w:val="0"/>
                <w:color w:val="20242B"/>
                <w:sz w:val="18"/>
              </w:rPr>
              <w:t>Founder &amp; Chair, RIYAADA Institute for Leadership &amp; Governance</w:t>
            </w:r>
          </w:p>
        </w:tc>
      </w:tr>
      <w:tr>
        <w:trPr>
          <w:cantSplit/>
        </w:trPr>
        <w:tc>
          <w:tcPr>
            <w:tcW w:type="dxa" w:w="2592"/>
            <w:shd w:fill="13315C" w:val="clear"/>
            <w:tcMar>
              <w:top w:w="80" w:type="dxa"/>
              <w:start w:w="100" w:type="dxa"/>
              <w:bottom w:w="80" w:type="dxa"/>
              <w:end w:w="100" w:type="dxa"/>
            </w:tcMar>
          </w:tcPr>
          <w:p>
            <w:r>
              <w:rPr>
                <w:rFonts w:ascii="Calibri" w:hAnsi="Calibri"/>
                <w:b/>
                <w:color w:val="FFFFFF"/>
                <w:sz w:val="17"/>
              </w:rPr>
              <w:t>Issue / review date</w:t>
            </w:r>
          </w:p>
        </w:tc>
        <w:tc>
          <w:tcPr>
            <w:tcW w:type="dxa" w:w="6552"/>
            <w:shd w:fill="F3F7FB" w:val="clear"/>
            <w:tcMar>
              <w:top w:w="80" w:type="dxa"/>
              <w:start w:w="100" w:type="dxa"/>
              <w:bottom w:w="80" w:type="dxa"/>
              <w:end w:w="100" w:type="dxa"/>
            </w:tcMar>
          </w:tcPr>
          <w:p>
            <w:r>
              <w:rPr>
                <w:rFonts w:ascii="Cambria" w:hAnsi="Cambria"/>
                <w:b w:val="0"/>
                <w:color w:val="20242B"/>
                <w:sz w:val="18"/>
              </w:rPr>
              <w:t>July 2026  /  July 2027</w:t>
            </w:r>
          </w:p>
        </w:tc>
      </w:tr>
    </w:tbl>
    <w:p>
      <w:pPr>
        <w:keepNext w:val="0"/>
        <w:spacing w:before="240" w:after="100" w:line="276" w:lineRule="auto"/>
        <w:jc w:val="center"/>
      </w:pPr>
      <w:r>
        <w:rPr>
          <w:rFonts w:ascii="Calibri" w:hAnsi="Calibri" w:eastAsia="Calibri"/>
          <w:b/>
          <w:i w:val="0"/>
          <w:caps w:val="0"/>
          <w:color w:val="A5761F"/>
          <w:sz w:val="27"/>
        </w:rPr>
        <w:t>LEARN.  QUALIFY.  LEAD.</w:t>
      </w:r>
    </w:p>
    <w:tbl>
      <w:tblPr>
        <w:tblW w:type="auto" w:w="0"/>
        <w:jc w:val="center"/>
        <w:tblLayout w:type="fixed"/>
        <w:tblLook w:firstColumn="1" w:firstRow="1" w:lastColumn="0" w:lastRow="0" w:noHBand="0" w:noVBand="1" w:val="04A0"/>
      </w:tblPr>
      <w:tblGrid>
        <w:gridCol w:w="9144"/>
      </w:tblGrid>
      <w:tr>
        <w:tc>
          <w:tcPr>
            <w:tcW w:type="dxa" w:w="9749"/>
            <w:shd w:fill="13315C" w:val="clear"/>
            <w:tcMar>
              <w:top w:w="120" w:type="dxa"/>
              <w:start w:w="100" w:type="dxa"/>
              <w:bottom w:w="120" w:type="dxa"/>
              <w:end w:w="100" w:type="dxa"/>
            </w:tcMar>
          </w:tcPr>
          <w:p>
            <w:pPr>
              <w:jc w:val="center"/>
            </w:pPr>
            <w:r>
              <w:rPr>
                <w:rFonts w:ascii="Calibri" w:hAnsi="Calibri" w:eastAsia="Calibri"/>
                <w:b/>
                <w:i w:val="0"/>
                <w:caps w:val="0"/>
                <w:color w:val="FFFFFF"/>
                <w:sz w:val="16"/>
              </w:rPr>
              <w:t>RIYAADA Institute for Leadership &amp; Governance  •  Mogadishu, Somalia</w:t>
            </w:r>
          </w:p>
          <w:p>
            <w:pPr>
              <w:jc w:val="center"/>
            </w:pPr>
            <w:r>
              <w:rPr>
                <w:rFonts w:ascii="Calibri" w:hAnsi="Calibri" w:eastAsia="Calibri"/>
                <w:b w:val="0"/>
                <w:i w:val="0"/>
                <w:caps w:val="0"/>
                <w:color w:val="E9D9B4"/>
                <w:sz w:val="14"/>
              </w:rPr>
              <w:t>www.riyaadaacademy.com  |  www.riyaadainstitute.com  |  www.riyaadajournals.com  |  info@riyaadaacademy.com</w:t>
            </w:r>
          </w:p>
          <w:p>
            <w:pPr>
              <w:jc w:val="center"/>
            </w:pPr>
            <w:r>
              <w:rPr>
                <w:rFonts w:ascii="Calibri" w:hAnsi="Calibri" w:eastAsia="Calibri"/>
                <w:b w:val="0"/>
                <w:i w:val="0"/>
                <w:caps w:val="0"/>
                <w:color w:val="E9D9B4"/>
                <w:sz w:val="14"/>
              </w:rPr>
              <w:t>Abdiaziz District, Via Bandar Qaasim, Mogadishu, Somalia  |  +252 617 596 220  |  +252 610 423 719</w:t>
            </w:r>
          </w:p>
        </w:tc>
      </w:tr>
    </w:tbl>
    <w:p>
      <w:pPr>
        <w:sectPr>
          <w:pgSz w:w="11909" w:h="16834"/>
          <w:pgMar w:top="792" w:right="1080" w:bottom="792" w:left="1080" w:header="288" w:footer="288" w:gutter="0"/>
          <w:cols w:space="720"/>
          <w:titlePg/>
          <w:docGrid w:linePitch="360"/>
        </w:sectPr>
      </w:pPr>
    </w:p>
    <w:p>
      <w:pPr>
        <w:pStyle w:val="Heading1"/>
        <w:keepNext/>
      </w:pPr>
      <w:r>
        <w:t>Document Control</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592"/>
        <w:gridCol w:w="6552"/>
      </w:tblGrid>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Document title</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ACADEMIC AND PROFESSIONAL PROGRAMME CATALOGUE</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Document code</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RIYAADA-CAT-2026-001</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Version / edition</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Version 1.0  —  First Edition 2026</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Status</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Approved for institutional use and external circulation</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Prepared by</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Curriculum &amp; Programmes Unit, RIYAADA Academy</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Reviewed by</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Academic Board, RIYAADA Institute for Leadership &amp; Governance</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Approved by</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Founder &amp; Chair, RIYAADA Institute for Leadership &amp; Governance</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Date of issue</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July 2026</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Next scheduled review</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July 2027</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Distribution</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Prospective learners, sponsoring institutions, partners, regulators, faculty and the public</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Related documents</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RIYAADA-CUR-2026-002; RIYAADA-ADM-2026-006; RIYAADA-ACV-2026-004</w:t>
            </w:r>
          </w:p>
        </w:tc>
      </w:tr>
      <w:tr>
        <w:trPr>
          <w:cantSplit/>
        </w:trPr>
        <w:tc>
          <w:tcPr>
            <w:tcW w:type="dxa" w:w="2592"/>
            <w:shd w:fill="13315C" w:val="clear"/>
            <w:tcMar>
              <w:top w:w="80" w:type="dxa"/>
              <w:start w:w="100" w:type="dxa"/>
              <w:bottom w:w="80" w:type="dxa"/>
              <w:end w:w="100" w:type="dxa"/>
            </w:tcMar>
          </w:tcPr>
          <w:p>
            <w:r>
              <w:rPr>
                <w:rFonts w:ascii="Calibri" w:hAnsi="Calibri" w:eastAsia="Calibri"/>
                <w:b/>
                <w:i w:val="0"/>
                <w:caps w:val="0"/>
                <w:color w:val="FFFFFF"/>
                <w:sz w:val="16"/>
              </w:rPr>
              <w:t>Copyright &amp; use</w:t>
            </w:r>
          </w:p>
        </w:tc>
        <w:tc>
          <w:tcPr>
            <w:tcW w:type="dxa" w:w="6552"/>
            <w:shd w:fill="F3F7FB" w:val="clear"/>
            <w:tcMar>
              <w:top w:w="80" w:type="dxa"/>
              <w:start w:w="100" w:type="dxa"/>
              <w:bottom w:w="80" w:type="dxa"/>
              <w:end w:w="100" w:type="dxa"/>
            </w:tcMar>
          </w:tcPr>
          <w:p>
            <w:r>
              <w:rPr>
                <w:rFonts w:ascii="Cambria" w:hAnsi="Cambria" w:eastAsia="Cambria"/>
                <w:b w:val="0"/>
                <w:i w:val="0"/>
                <w:caps w:val="0"/>
                <w:color w:val="20242B"/>
                <w:sz w:val="17"/>
              </w:rPr>
              <w:t>© 2026 RIYAADA Institute for Leadership &amp; Governance. All rights reserved. Reproduction for internal, non-commercial institutional use is permitted provided RIYAADA identity and attribution are retained.</w:t>
            </w:r>
          </w:p>
        </w:tc>
      </w:tr>
    </w:tbl>
    <w:p>
      <w:pPr>
        <w:spacing w:before="60" w:after="40" w:line="276" w:lineRule="auto"/>
      </w:pPr>
    </w:p>
    <w:p>
      <w:pPr>
        <w:pStyle w:val="Heading2"/>
        <w:keepNext/>
      </w:pPr>
      <w:r>
        <w:t>Version history</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1045"/>
        <w:gridCol w:w="1437"/>
        <w:gridCol w:w="2743"/>
        <w:gridCol w:w="3919"/>
      </w:tblGrid>
      <w:tr>
        <w:trPr>
          <w:tblHeader w:val="true"/>
        </w:trPr>
        <w:tc>
          <w:tcPr>
            <w:tcW w:type="dxa" w:w="2437"/>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VERSION</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DATE</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AUTHOR / OWNER</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NATURE OF CHANGE</w:t>
            </w:r>
          </w:p>
        </w:tc>
      </w:tr>
      <w:tr>
        <w:trPr>
          <w:cantSplit/>
        </w:trPr>
        <w:tc>
          <w:tcPr>
            <w:tcW w:type="dxa" w:w="1045"/>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1.0</w:t>
            </w:r>
          </w:p>
        </w:tc>
        <w:tc>
          <w:tcPr>
            <w:tcW w:type="dxa" w:w="1437"/>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July 2026</w:t>
            </w:r>
          </w:p>
        </w:tc>
        <w:tc>
          <w:tcPr>
            <w:tcW w:type="dxa" w:w="2743"/>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Curriculum &amp; Programmes Unit, RIYAADA Academy</w:t>
            </w:r>
          </w:p>
        </w:tc>
        <w:tc>
          <w:tcPr>
            <w:tcW w:type="dxa" w:w="3919"/>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First issue — approved for institutional use and external circulation.</w:t>
            </w:r>
          </w:p>
        </w:tc>
      </w:tr>
      <w:tr>
        <w:trPr>
          <w:cantSplit/>
        </w:trPr>
        <w:tc>
          <w:tcPr>
            <w:tcW w:type="dxa" w:w="1045"/>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w:t>
            </w:r>
          </w:p>
        </w:tc>
        <w:tc>
          <w:tcPr>
            <w:tcW w:type="dxa" w:w="1437"/>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w:t>
            </w:r>
          </w:p>
        </w:tc>
        <w:tc>
          <w:tcPr>
            <w:tcW w:type="dxa" w:w="2743"/>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w:t>
            </w:r>
          </w:p>
        </w:tc>
        <w:tc>
          <w:tcPr>
            <w:tcW w:type="dxa" w:w="3919"/>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Subsequent revisions are to be recorded here before circulation.</w:t>
            </w:r>
          </w:p>
        </w:tc>
      </w:tr>
    </w:tbl>
    <w:p>
      <w:pPr>
        <w:spacing w:before="60" w:after="60" w:line="276" w:lineRule="auto"/>
      </w:pPr>
    </w:p>
    <w:tbl>
      <w:tblPr>
        <w:tblW w:type="auto" w:w="0"/>
        <w:jc w:val="center"/>
        <w:tblLayout w:type="fixed"/>
        <w:tblLook w:firstColumn="1" w:firstRow="1" w:lastColumn="0" w:lastRow="0" w:noHBand="0" w:noVBand="1" w:val="04A0"/>
        <w:tblBorders>
          <w:top w:val="single" w:sz="8" w:space="0" w:color="13787F"/>
          <w:left w:val="single" w:sz="8" w:space="0" w:color="13787F"/>
          <w:bottom w:val="single" w:sz="8" w:space="0" w:color="13787F"/>
          <w:right w:val="single" w:sz="8" w:space="0" w:color="13787F"/>
          <w:insideH w:val="single" w:sz="4" w:space="0" w:color="13787F"/>
          <w:insideV w:val="single" w:sz="4" w:space="0" w:color="13787F"/>
        </w:tblBorders>
      </w:tblPr>
      <w:tblGrid>
        <w:gridCol w:w="9144"/>
      </w:tblGrid>
      <w:tr>
        <w:trPr>
          <w:cantSplit/>
        </w:trPr>
        <w:tc>
          <w:tcPr>
            <w:tcW w:type="dxa" w:w="9749"/>
            <w:shd w:fill="EAF4F5" w:val="clear"/>
            <w:tcMar>
              <w:top w:w="120" w:type="dxa"/>
              <w:start w:w="180" w:type="dxa"/>
              <w:bottom w:w="120" w:type="dxa"/>
              <w:end w:w="150" w:type="dxa"/>
            </w:tcMar>
          </w:tcPr>
          <w:p>
            <w:pPr>
              <w:spacing w:after="80"/>
            </w:pPr>
            <w:r>
              <w:rPr>
                <w:rFonts w:ascii="Calibri" w:hAnsi="Calibri" w:eastAsia="Calibri"/>
                <w:b/>
                <w:i w:val="0"/>
                <w:caps w:val="0"/>
                <w:color w:val="13787F"/>
                <w:sz w:val="19"/>
              </w:rPr>
              <w:t>PURPOSE OF THIS DOCUMENT</w:t>
            </w:r>
          </w:p>
          <w:p>
            <w:pPr>
              <w:spacing w:after="60" w:line="264" w:lineRule="auto"/>
            </w:pPr>
            <w:r>
              <w:rPr>
                <w:rFonts w:ascii="Cambria" w:hAnsi="Cambria" w:eastAsia="Cambria"/>
                <w:b w:val="0"/>
                <w:i w:val="0"/>
                <w:caps w:val="0"/>
                <w:color w:val="20242B"/>
                <w:sz w:val="19"/>
              </w:rPr>
              <w:t>This catalogue is the authoritative statement of the programmes offered by RIYAADA Academy, the professional education arm of the RIYAADA Institute for Leadership &amp; Governance. It sets out the School structure, the RIYAADA Credit &amp; Award Framework, every course on offer with its code, level, duration and credit value, and the pathways by which courses combine into certificates and diplomas.</w:t>
            </w:r>
          </w:p>
          <w:p>
            <w:pPr>
              <w:spacing w:after="60" w:line="264" w:lineRule="auto"/>
            </w:pPr>
            <w:r>
              <w:rPr>
                <w:rFonts w:ascii="Cambria" w:hAnsi="Cambria" w:eastAsia="Cambria"/>
                <w:b w:val="0"/>
                <w:i w:val="0"/>
                <w:caps w:val="0"/>
                <w:color w:val="20242B"/>
                <w:sz w:val="19"/>
              </w:rPr>
              <w:t>It is written to serve three audiences at once: the individual learner choosing a course, the institution commissioning a cohort, and the regulator or partner assessing the coherence and quality of the provision.</w:t>
            </w:r>
          </w:p>
        </w:tc>
      </w:tr>
    </w:tbl>
    <w:p>
      <w:pPr>
        <w:spacing w:before="60" w:after="60" w:line="276" w:lineRule="auto"/>
      </w:pPr>
    </w:p>
    <w:p>
      <w:r>
        <w:br w:type="page"/>
      </w:r>
    </w:p>
    <w:p>
      <w:pPr>
        <w:pStyle w:val="Heading1"/>
        <w:keepNext/>
      </w:pPr>
      <w:r>
        <w:t>Table of Contents</w:t>
      </w:r>
    </w:p>
    <w:p>
      <w:pPr>
        <w:spacing w:before="0" w:after="160" w:line="276" w:lineRule="auto"/>
      </w:pPr>
      <w:r>
        <w:rPr>
          <w:rFonts w:ascii="Calibri" w:hAnsi="Calibri" w:eastAsia="Calibri"/>
          <w:b w:val="0"/>
          <w:i/>
          <w:caps w:val="0"/>
          <w:color w:val="5A6472"/>
          <w:sz w:val="17"/>
        </w:rPr>
        <w:t>Select the table below and choose References → Update Table in Microsoft Word whenever headings or page numbers change.</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1080"/>
        <w:gridCol w:w="7056"/>
        <w:gridCol w:w="1008"/>
      </w:tblGrid>
      <w:tr>
        <w:trPr>
          <w:tblHeader w:val="true"/>
        </w:trPr>
        <w:tc>
          <w:tcPr>
            <w:tcW w:type="dxa" w:w="3250"/>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SECTION</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CONTENTS</w:t>
            </w:r>
          </w:p>
        </w:tc>
        <w:tc>
          <w:tcPr>
            <w:tcW w:type="dxa" w:w="3250"/>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PAGE</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1</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About RIYAADA</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3</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2</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The Academic Architecture</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3</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2.1</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Four Schools</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3</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2.2</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RIYAADA Credit &amp; Award Framework</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4</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2.3</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Three-tier management stratification</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4</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2.4</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RIYAADA curricular spine</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5</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3</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Programme Portfolio at a Glance</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6</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4</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School Profiles and Course Descriptions</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7</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5</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Pathways, Clusters and Progression</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9</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6</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Delivery, Language and Learning Model</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10</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7</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Assessment, Certification and Quality</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10</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8</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Fees, Sponsorship and Admission</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11</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9</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Learner Entitlements and Obligations</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11</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10</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Alumni and Continuing Engagement</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11</w:t>
            </w:r>
          </w:p>
        </w:tc>
      </w:tr>
      <w:tr>
        <w:trPr>
          <w:cantSplit/>
        </w:trPr>
        <w:tc>
          <w:tcPr>
            <w:tcW w:type="dxa" w:w="1080"/>
            <w:shd w:fill="FFFFFF"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t>11</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Caveats and Currency of this Catalogue</w:t>
            </w:r>
          </w:p>
        </w:tc>
        <w:tc>
          <w:tcPr>
            <w:tcW w:type="dxa" w:w="100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12</w:t>
            </w:r>
          </w:p>
        </w:tc>
      </w:tr>
      <w:tr>
        <w:trPr>
          <w:cantSplit/>
        </w:trPr>
        <w:tc>
          <w:tcPr>
            <w:tcW w:type="dxa" w:w="1080"/>
            <w:shd w:fill="F3F7FB" w:val="clear"/>
            <w:tcMar>
              <w:top w:w="80" w:type="dxa"/>
              <w:start w:w="90" w:type="dxa"/>
              <w:bottom w:w="80" w:type="dxa"/>
              <w:end w:w="90" w:type="dxa"/>
            </w:tcMar>
            <w:vAlign w:val="center"/>
          </w:tcPr>
          <w:p>
            <w:pPr>
              <w:spacing w:after="0" w:line="240" w:lineRule="auto"/>
              <w:jc w:val="center"/>
            </w:pPr>
            <w:r/>
            <w:r>
              <w:rPr>
                <w:rFonts w:ascii="Calibri" w:hAnsi="Calibri" w:eastAsia="Calibri"/>
                <w:b/>
                <w:i w:val="0"/>
                <w:caps w:val="0"/>
                <w:color w:val="20242B"/>
                <w:sz w:val="17"/>
              </w:rPr>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Authorised Sign-off</w:t>
            </w:r>
          </w:p>
        </w:tc>
        <w:tc>
          <w:tcPr>
            <w:tcW w:type="dxa" w:w="100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12</w:t>
            </w:r>
          </w:p>
        </w:tc>
      </w:tr>
    </w:tbl>
    <w:p>
      <w:pPr>
        <w:spacing w:before="60" w:after="60" w:line="276" w:lineRule="auto"/>
      </w:pPr>
    </w:p>
    <w:p>
      <w:pPr>
        <w:spacing w:before="40" w:after="60" w:line="276" w:lineRule="auto"/>
      </w:pPr>
      <w:r>
        <w:rPr>
          <w:rFonts w:ascii="Calibri" w:hAnsi="Calibri" w:eastAsia="Calibri"/>
          <w:b w:val="0"/>
          <w:i/>
          <w:caps w:val="0"/>
          <w:color w:val="5A6472"/>
          <w:sz w:val="15"/>
        </w:rPr>
        <w:t>A dynamic Table of Contents field is also embedded below. Microsoft Word can refresh it automatically when the document is opened or when References → Update Table is selected.</w:t>
      </w:r>
    </w:p>
    <w:p>
      <w:pPr>
        <w:spacing w:after="80"/>
      </w:pPr>
      <w:r>
        <w:fldChar w:fldCharType="begin"/>
        <w:instrText xml:space="preserve">TOC \o "1-3" \h \z \u</w:instrText>
        <w:fldChar w:fldCharType="separate"/>
        <w:t/>
        <w:fldChar w:fldCharType="end"/>
      </w:r>
    </w:p>
    <w:p>
      <w:r>
        <w:br w:type="page"/>
      </w:r>
    </w:p>
    <w:p>
      <w:pPr>
        <w:pStyle w:val="Heading1"/>
        <w:keepNext/>
      </w:pPr>
      <w:r>
        <w:t>1. About RIYAADA</w:t>
      </w:r>
    </w:p>
    <w:p>
      <w:pPr>
        <w:spacing w:before="80" w:after="160" w:line="283" w:lineRule="auto"/>
        <w:jc w:val="both"/>
      </w:pPr>
      <w:r>
        <w:rPr>
          <w:rFonts w:ascii="Cambria" w:hAnsi="Cambria" w:eastAsia="Cambria"/>
          <w:b w:val="0"/>
          <w:i/>
          <w:caps w:val="0"/>
          <w:color w:val="1F3864"/>
          <w:sz w:val="21"/>
        </w:rPr>
        <w:t>RIYAADA Institute for Leadership &amp; Governance is a Mogadishu-based centre of excellence dedicated to educating leaders, producing knowledge and transforming institutions across Somalia, the Horn of Africa and the wider Global South.</w:t>
      </w:r>
    </w:p>
    <w:p>
      <w:pPr>
        <w:spacing w:before="40" w:after="120" w:line="283" w:lineRule="auto"/>
        <w:jc w:val="both"/>
      </w:pPr>
      <w:r>
        <w:rPr>
          <w:rFonts w:ascii="Cambria" w:hAnsi="Cambria" w:eastAsia="Cambria"/>
          <w:b w:val="0"/>
          <w:i w:val="0"/>
          <w:caps w:val="0"/>
          <w:color w:val="20242B"/>
          <w:sz w:val="20"/>
        </w:rPr>
        <w:t>The Institute exists to convert leadership potential into measurable institutional performance in environments where governance capacity is most urgently required — post-conflict states, fragile institutions, young democracies, emerging corporate sectors and reforming public administrations. It brings together executive education, applied research, policy engagement, coaching and institutional transformation support in a single mandate, so that individual learning and organisational improvement reinforce one another rather than running on separate tracks.</w:t>
      </w:r>
    </w:p>
    <w:p>
      <w:pPr>
        <w:spacing w:before="40" w:after="120" w:line="283" w:lineRule="auto"/>
        <w:jc w:val="both"/>
      </w:pPr>
      <w:r>
        <w:rPr>
          <w:rFonts w:ascii="Cambria" w:hAnsi="Cambria" w:eastAsia="Cambria"/>
          <w:b w:val="0"/>
          <w:i w:val="0"/>
          <w:caps w:val="0"/>
          <w:color w:val="20242B"/>
          <w:sz w:val="20"/>
        </w:rPr>
        <w:t>RIYAADA works across five interlocking pillars — leadership, governance, research, publishing and innovation — delivered through four operating entities that share one identity, one quality system and one set of institutional values.</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232"/>
        <w:gridCol w:w="4680"/>
        <w:gridCol w:w="2232"/>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ENTITY</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MANDATE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PRIMARY CHANNEL</w:t>
            </w:r>
          </w:p>
        </w:tc>
      </w:tr>
      <w:tr>
        <w:trPr>
          <w:cantSplit/>
        </w:trPr>
        <w:tc>
          <w:tcPr>
            <w:tcW w:type="dxa" w:w="223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RIYAADA Institute for Leadership &amp; Governance</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Institutional parent: strategy, governance, policy engagement, partnerships and institutional transformation advisory.</w:t>
            </w:r>
          </w:p>
        </w:tc>
        <w:tc>
          <w:tcPr>
            <w:tcW w:type="dxa" w:w="2232"/>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www.riyaadainstitute.com</w:t>
            </w:r>
          </w:p>
        </w:tc>
      </w:tr>
      <w:tr>
        <w:trPr>
          <w:cantSplit/>
        </w:trPr>
        <w:tc>
          <w:tcPr>
            <w:tcW w:type="dxa" w:w="2232"/>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RIYAADA Academy</w:t>
            </w:r>
          </w:p>
        </w:tc>
        <w:tc>
          <w:tcPr>
            <w:tcW w:type="dxa" w:w="46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Professional and executive education: curricula, cohorts, assessment, certification and alumni pathways.</w:t>
            </w:r>
          </w:p>
        </w:tc>
        <w:tc>
          <w:tcPr>
            <w:tcW w:type="dxa" w:w="2232"/>
            <w:shd w:fill="F3F7FB" w:val="clear"/>
            <w:tcMar>
              <w:top w:w="80" w:type="dxa"/>
              <w:start w:w="90" w:type="dxa"/>
              <w:bottom w:w="80" w:type="dxa"/>
              <w:end w:w="90" w:type="dxa"/>
            </w:tcMar>
            <w:vAlign w:val="center"/>
          </w:tcPr>
          <w:p>
            <w:pPr>
              <w:spacing w:after="40" w:line="240" w:lineRule="auto"/>
              <w:jc w:val="left"/>
            </w:pPr>
            <w:r/>
            <w:r>
              <w:rPr>
                <w:rFonts w:ascii="Cambria" w:hAnsi="Cambria" w:eastAsia="Cambria"/>
                <w:b w:val="0"/>
                <w:i w:val="0"/>
                <w:caps w:val="0"/>
                <w:color w:val="20242B"/>
                <w:sz w:val="16"/>
              </w:rPr>
              <w:t>www.riyaadaacademy.com</w:t>
            </w:r>
          </w:p>
          <w:p>
            <w:pPr>
              <w:spacing w:after="0" w:line="240" w:lineRule="auto"/>
              <w:jc w:val="left"/>
            </w:pPr>
            <w:r>
              <w:rPr>
                <w:rFonts w:ascii="Cambria" w:hAnsi="Cambria" w:eastAsia="Cambria"/>
                <w:b w:val="0"/>
                <w:i w:val="0"/>
                <w:caps w:val="0"/>
                <w:color w:val="20242B"/>
                <w:sz w:val="16"/>
              </w:rPr>
              <w:t>www.riyaadaacademy.online</w:t>
            </w:r>
          </w:p>
        </w:tc>
      </w:tr>
      <w:tr>
        <w:trPr>
          <w:cantSplit/>
        </w:trPr>
        <w:tc>
          <w:tcPr>
            <w:tcW w:type="dxa" w:w="223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RIYAADA Journals</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Peer-reviewed publishing, editorial governance, indexing and research dissemination.</w:t>
            </w:r>
          </w:p>
        </w:tc>
        <w:tc>
          <w:tcPr>
            <w:tcW w:type="dxa" w:w="2232"/>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www.riyaadajournals.com</w:t>
            </w:r>
          </w:p>
        </w:tc>
      </w:tr>
      <w:tr>
        <w:trPr>
          <w:cantSplit/>
        </w:trPr>
        <w:tc>
          <w:tcPr>
            <w:tcW w:type="dxa" w:w="2232"/>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RUGSAN Publisher</w:t>
            </w:r>
          </w:p>
        </w:tc>
        <w:tc>
          <w:tcPr>
            <w:tcW w:type="dxa" w:w="46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Books, monographs, manuals, policy series and institutional imprints.</w:t>
            </w:r>
          </w:p>
        </w:tc>
        <w:tc>
          <w:tcPr>
            <w:tcW w:type="dxa" w:w="2232"/>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Imprint of the Institute</w:t>
            </w:r>
          </w:p>
        </w:tc>
      </w:tr>
    </w:tbl>
    <w:p>
      <w:pPr>
        <w:spacing w:before="60" w:after="60" w:line="276" w:lineRule="auto"/>
      </w:pPr>
    </w:p>
    <w:tbl>
      <w:tblPr>
        <w:tblW w:type="auto" w:w="0"/>
        <w:jc w:val="center"/>
        <w:tblLayout w:type="fixed"/>
        <w:tblLook w:firstColumn="1" w:firstRow="1" w:lastColumn="0" w:lastRow="0" w:noHBand="0" w:noVBand="1" w:val="04A0"/>
        <w:tblBorders>
          <w:top w:val="single" w:sz="8" w:space="0" w:color="13787F"/>
          <w:left w:val="single" w:sz="8" w:space="0" w:color="13787F"/>
          <w:bottom w:val="single" w:sz="8" w:space="0" w:color="13787F"/>
          <w:right w:val="single" w:sz="8" w:space="0" w:color="13787F"/>
          <w:insideH w:val="single" w:sz="4" w:space="0" w:color="13787F"/>
          <w:insideV w:val="single" w:sz="4" w:space="0" w:color="13787F"/>
        </w:tblBorders>
      </w:tblPr>
      <w:tblGrid>
        <w:gridCol w:w="9144"/>
      </w:tblGrid>
      <w:tr>
        <w:trPr>
          <w:cantSplit/>
        </w:trPr>
        <w:tc>
          <w:tcPr>
            <w:tcW w:type="dxa" w:w="9749"/>
            <w:shd w:fill="EAF4F5" w:val="clear"/>
            <w:tcMar>
              <w:top w:w="120" w:type="dxa"/>
              <w:start w:w="180" w:type="dxa"/>
              <w:bottom w:w="120" w:type="dxa"/>
              <w:end w:w="150" w:type="dxa"/>
            </w:tcMar>
          </w:tcPr>
          <w:p>
            <w:pPr>
              <w:spacing w:after="80"/>
            </w:pPr>
            <w:r>
              <w:rPr>
                <w:rFonts w:ascii="Calibri" w:hAnsi="Calibri" w:eastAsia="Calibri"/>
                <w:b/>
                <w:i w:val="0"/>
                <w:caps w:val="0"/>
                <w:color w:val="13787F"/>
                <w:sz w:val="19"/>
              </w:rPr>
              <w:t>INSTITUTIONAL PROMISE</w:t>
            </w:r>
          </w:p>
          <w:p>
            <w:pPr>
              <w:spacing w:after="60" w:line="264" w:lineRule="auto"/>
            </w:pPr>
            <w:r>
              <w:rPr>
                <w:rFonts w:ascii="Cambria" w:hAnsi="Cambria" w:eastAsia="Cambria"/>
                <w:b w:val="0"/>
                <w:i w:val="0"/>
                <w:caps w:val="0"/>
                <w:color w:val="20242B"/>
                <w:sz w:val="19"/>
              </w:rPr>
              <w:t>Every RIYAADA programme is designed to leave behind a working institutional system — a policy, a register, an audit, a dashboard, a plan — and not only an individual with new knowledge.</w:t>
            </w:r>
          </w:p>
          <w:p>
            <w:pPr>
              <w:spacing w:after="60" w:line="264" w:lineRule="auto"/>
            </w:pPr>
            <w:r>
              <w:rPr>
                <w:rFonts w:ascii="Cambria" w:hAnsi="Cambria" w:eastAsia="Cambria"/>
                <w:b w:val="0"/>
                <w:i w:val="0"/>
                <w:caps w:val="0"/>
                <w:color w:val="20242B"/>
                <w:sz w:val="19"/>
              </w:rPr>
              <w:t>Learn. Qualify. Lead.</w:t>
            </w:r>
          </w:p>
        </w:tc>
      </w:tr>
    </w:tbl>
    <w:p>
      <w:pPr>
        <w:spacing w:before="60" w:after="60" w:line="276" w:lineRule="auto"/>
      </w:pPr>
    </w:p>
    <w:p>
      <w:pPr>
        <w:pStyle w:val="Heading1"/>
        <w:keepNext/>
      </w:pPr>
      <w:r>
        <w:t>2. The Academic Architecture</w:t>
      </w:r>
    </w:p>
    <w:p>
      <w:pPr>
        <w:pStyle w:val="Heading2"/>
        <w:keepNext/>
      </w:pPr>
      <w:r>
        <w:t>2.1 Four Schools</w:t>
      </w:r>
    </w:p>
    <w:p>
      <w:pPr>
        <w:spacing w:before="40" w:after="120" w:line="283" w:lineRule="auto"/>
        <w:jc w:val="both"/>
      </w:pPr>
      <w:r>
        <w:rPr>
          <w:rFonts w:ascii="Cambria" w:hAnsi="Cambria" w:eastAsia="Cambria"/>
          <w:b w:val="0"/>
          <w:i w:val="0"/>
          <w:caps w:val="0"/>
          <w:color w:val="20242B"/>
          <w:sz w:val="20"/>
        </w:rPr>
        <w:t>Programmes are organised into four Schools. Each School has a named academic owner, a defined curriculum map, a reading and case portfolio, and its own annual review cycle. Learners may take courses within one School or build a cross-School pathway.</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792"/>
        <w:gridCol w:w="3024"/>
        <w:gridCol w:w="5328"/>
      </w:tblGrid>
      <w:tr>
        <w:trPr>
          <w:tblHeader w:val="true"/>
        </w:trPr>
        <w:tc>
          <w:tcPr>
            <w:tcW w:type="dxa" w:w="3250"/>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CODE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SCHOOL</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DISCIPLINARY SCOPE</w:t>
            </w:r>
          </w:p>
        </w:tc>
      </w:tr>
      <w:tr>
        <w:trPr>
          <w:cantSplit/>
        </w:trPr>
        <w:tc>
          <w:tcPr>
            <w:tcW w:type="dxa" w:w="792"/>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S1</w:t>
            </w:r>
          </w:p>
        </w:tc>
        <w:tc>
          <w:tcPr>
            <w:tcW w:type="dxa" w:w="30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School of Governance &amp; Public Leadership</w:t>
            </w:r>
          </w:p>
        </w:tc>
        <w:tc>
          <w:tcPr>
            <w:tcW w:type="dxa" w:w="53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Public leadership; corporate and board governance; ethics, integrity and accountability; public policy; government administration; and public-sector reform.</w:t>
            </w:r>
          </w:p>
        </w:tc>
      </w:tr>
      <w:tr>
        <w:trPr>
          <w:cantSplit/>
        </w:trPr>
        <w:tc>
          <w:tcPr>
            <w:tcW w:type="dxa" w:w="792"/>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S2</w:t>
            </w:r>
          </w:p>
        </w:tc>
        <w:tc>
          <w:tcPr>
            <w:tcW w:type="dxa" w:w="30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School of Health Systems, Policy &amp; Financing</w:t>
            </w:r>
          </w:p>
        </w:tc>
        <w:tc>
          <w:tcPr>
            <w:tcW w:type="dxa" w:w="53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Hospital leadership and governance; health financing and social health insurance; universal health coverage; strategic purchasing; quality and patient safety; health workforce; and digital health governance.</w:t>
            </w:r>
          </w:p>
        </w:tc>
      </w:tr>
      <w:tr>
        <w:trPr>
          <w:cantSplit/>
        </w:trPr>
        <w:tc>
          <w:tcPr>
            <w:tcW w:type="dxa" w:w="792"/>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S3</w:t>
            </w:r>
          </w:p>
        </w:tc>
        <w:tc>
          <w:tcPr>
            <w:tcW w:type="dxa" w:w="30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School of Strategy, Management &amp; Institutional Transformation</w:t>
            </w:r>
          </w:p>
        </w:tc>
        <w:tc>
          <w:tcPr>
            <w:tcW w:type="dxa" w:w="53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Executive leadership; institutional transformation; change management; strategic management; public financial management; organisational budgeting; and project and programme management.</w:t>
            </w:r>
          </w:p>
        </w:tc>
      </w:tr>
      <w:tr>
        <w:trPr>
          <w:cantSplit/>
        </w:trPr>
        <w:tc>
          <w:tcPr>
            <w:tcW w:type="dxa" w:w="792"/>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7"/>
              </w:rPr>
              <w:t>S4</w:t>
            </w:r>
          </w:p>
        </w:tc>
        <w:tc>
          <w:tcPr>
            <w:tcW w:type="dxa" w:w="30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School of Research, Evaluation &amp; Knowledge</w:t>
            </w:r>
          </w:p>
        </w:tc>
        <w:tc>
          <w:tcPr>
            <w:tcW w:type="dxa" w:w="53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Applied research; monitoring, evaluation, accountability and learning; scientific writing and publishing; data literacy; evidence use; grant writing; and resource mobilisation.</w:t>
            </w:r>
          </w:p>
        </w:tc>
      </w:tr>
    </w:tbl>
    <w:p>
      <w:pPr>
        <w:spacing w:before="60" w:after="60" w:line="276" w:lineRule="auto"/>
      </w:pPr>
    </w:p>
    <w:p>
      <w:pPr>
        <w:pStyle w:val="Heading2"/>
        <w:keepNext/>
      </w:pPr>
      <w:r>
        <w:t>2.2 The RIYAADA Credit &amp; Award Framework (RCAF)</w:t>
      </w:r>
    </w:p>
    <w:p>
      <w:pPr>
        <w:spacing w:before="40" w:after="120" w:line="283" w:lineRule="auto"/>
        <w:jc w:val="both"/>
      </w:pPr>
      <w:r>
        <w:rPr>
          <w:rFonts w:ascii="Cambria" w:hAnsi="Cambria" w:eastAsia="Cambria"/>
          <w:b w:val="0"/>
          <w:i w:val="0"/>
          <w:caps w:val="0"/>
          <w:color w:val="20242B"/>
          <w:sz w:val="20"/>
        </w:rPr>
        <w:t>All provision is expressed in RIYAADA Credit Points (RCP). One RCP represents ten notional learning hours — the total time a typical learner needs to achieve the stated outcomes, including contact time, pre-work, applied project work and assessment. Notional hours are approximately double contact hours because RIYAADA follows a 70-20-10 model in which workplace application carries most of the learning.</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698"/>
        <w:gridCol w:w="1841"/>
        <w:gridCol w:w="2095"/>
        <w:gridCol w:w="1079"/>
        <w:gridCol w:w="889"/>
        <w:gridCol w:w="2540"/>
      </w:tblGrid>
      <w:tr>
        <w:trPr>
          <w:tblHeader w:val="true"/>
        </w:trPr>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LEVEL</w:t>
            </w:r>
          </w:p>
        </w:tc>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AWARD</w:t>
            </w:r>
          </w:p>
        </w:tc>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TYPICAL FORM</w:t>
            </w:r>
          </w:p>
        </w:tc>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VOLUME</w:t>
            </w:r>
          </w:p>
        </w:tc>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CREDIT</w:t>
            </w:r>
          </w:p>
        </w:tc>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AWARD REQUIREMENT</w:t>
            </w:r>
          </w:p>
        </w:tc>
      </w:tr>
      <w:tr>
        <w:trPr>
          <w:cantSplit/>
        </w:trPr>
        <w:tc>
          <w:tcPr>
            <w:tcW w:type="dxa" w:w="69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RL1</w:t>
            </w:r>
          </w:p>
        </w:tc>
        <w:tc>
          <w:tcPr>
            <w:tcW w:type="dxa" w:w="1841"/>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Certificate of Participation</w:t>
            </w:r>
          </w:p>
        </w:tc>
        <w:tc>
          <w:tcPr>
            <w:tcW w:type="dxa" w:w="2095"/>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Briefing, seminar, masterclass or non-assessed short course</w:t>
            </w:r>
          </w:p>
        </w:tc>
        <w:tc>
          <w:tcPr>
            <w:tcW w:type="dxa" w:w="1079"/>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1-3 days</w:t>
            </w:r>
          </w:p>
        </w:tc>
        <w:tc>
          <w:tcPr>
            <w:tcW w:type="dxa" w:w="88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 RCP</w:t>
            </w:r>
          </w:p>
        </w:tc>
        <w:tc>
          <w:tcPr>
            <w:tcW w:type="dxa" w:w="254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Minimum attendance and active participation; no assessed credit.</w:t>
            </w:r>
          </w:p>
        </w:tc>
      </w:tr>
      <w:tr>
        <w:trPr>
          <w:cantSplit/>
        </w:trPr>
        <w:tc>
          <w:tcPr>
            <w:tcW w:type="dxa" w:w="69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RL2</w:t>
            </w:r>
          </w:p>
        </w:tc>
        <w:tc>
          <w:tcPr>
            <w:tcW w:type="dxa" w:w="1841"/>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Professional Certificate</w:t>
            </w:r>
          </w:p>
        </w:tc>
        <w:tc>
          <w:tcPr>
            <w:tcW w:type="dxa" w:w="2095"/>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Assessed executive or professional course</w:t>
            </w:r>
          </w:p>
        </w:tc>
        <w:tc>
          <w:tcPr>
            <w:tcW w:type="dxa" w:w="1079"/>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3-10 days</w:t>
            </w:r>
          </w:p>
        </w:tc>
        <w:tc>
          <w:tcPr>
            <w:tcW w:type="dxa" w:w="88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4-10 RCP</w:t>
            </w:r>
          </w:p>
        </w:tc>
        <w:tc>
          <w:tcPr>
            <w:tcW w:type="dxa" w:w="254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At least 80% attendance and successful completion of the applied assessment or portfolio.</w:t>
            </w:r>
          </w:p>
        </w:tc>
      </w:tr>
      <w:tr>
        <w:trPr>
          <w:cantSplit/>
        </w:trPr>
        <w:tc>
          <w:tcPr>
            <w:tcW w:type="dxa" w:w="69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RL3</w:t>
            </w:r>
          </w:p>
        </w:tc>
        <w:tc>
          <w:tcPr>
            <w:tcW w:type="dxa" w:w="1841"/>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Advanced Certificate</w:t>
            </w:r>
          </w:p>
        </w:tc>
        <w:tc>
          <w:tcPr>
            <w:tcW w:type="dxa" w:w="2095"/>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Three-course cluster plus integrative assignment</w:t>
            </w:r>
          </w:p>
        </w:tc>
        <w:tc>
          <w:tcPr>
            <w:tcW w:type="dxa" w:w="1079"/>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3-6 months</w:t>
            </w:r>
          </w:p>
        </w:tc>
        <w:tc>
          <w:tcPr>
            <w:tcW w:type="dxa" w:w="88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24-30 RCP</w:t>
            </w:r>
          </w:p>
        </w:tc>
        <w:tc>
          <w:tcPr>
            <w:tcW w:type="dxa" w:w="254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Successful completion of the prescribed course cluster and an integrative institutional assignment.</w:t>
            </w:r>
          </w:p>
        </w:tc>
      </w:tr>
      <w:tr>
        <w:trPr>
          <w:cantSplit/>
        </w:trPr>
        <w:tc>
          <w:tcPr>
            <w:tcW w:type="dxa" w:w="69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RL4</w:t>
            </w:r>
          </w:p>
        </w:tc>
        <w:tc>
          <w:tcPr>
            <w:tcW w:type="dxa" w:w="1841"/>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Executive Diploma</w:t>
            </w:r>
          </w:p>
        </w:tc>
        <w:tc>
          <w:tcPr>
            <w:tcW w:type="dxa" w:w="2095"/>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Cross-School pathway plus institutional capstone</w:t>
            </w:r>
          </w:p>
        </w:tc>
        <w:tc>
          <w:tcPr>
            <w:tcW w:type="dxa" w:w="1079"/>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6-12 months</w:t>
            </w:r>
          </w:p>
        </w:tc>
        <w:tc>
          <w:tcPr>
            <w:tcW w:type="dxa" w:w="88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60 RCP</w:t>
            </w:r>
          </w:p>
        </w:tc>
        <w:tc>
          <w:tcPr>
            <w:tcW w:type="dxa" w:w="254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Completion of governance, leadership, execution and strategy cores, plus a defended capstone and 90-day review.</w:t>
            </w:r>
          </w:p>
        </w:tc>
      </w:tr>
      <w:tr>
        <w:trPr>
          <w:cantSplit/>
        </w:trPr>
        <w:tc>
          <w:tcPr>
            <w:tcW w:type="dxa" w:w="69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RL5</w:t>
            </w:r>
          </w:p>
        </w:tc>
        <w:tc>
          <w:tcPr>
            <w:tcW w:type="dxa" w:w="1841"/>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Executive Fellowship</w:t>
            </w:r>
          </w:p>
        </w:tc>
        <w:tc>
          <w:tcPr>
            <w:tcW w:type="dxa" w:w="2095"/>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Advanced practice, coaching and transformation fellowship</w:t>
            </w:r>
          </w:p>
        </w:tc>
        <w:tc>
          <w:tcPr>
            <w:tcW w:type="dxa" w:w="1079"/>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9-18 months</w:t>
            </w:r>
          </w:p>
        </w:tc>
        <w:tc>
          <w:tcPr>
            <w:tcW w:type="dxa" w:w="88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90+ RCP</w:t>
            </w:r>
          </w:p>
        </w:tc>
        <w:tc>
          <w:tcPr>
            <w:tcW w:type="dxa" w:w="254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Executive Diploma or equivalent, supervised institutional transformation portfolio, panel defence and verified results.</w:t>
            </w:r>
          </w:p>
        </w:tc>
      </w:tr>
    </w:tbl>
    <w:p>
      <w:pPr>
        <w:spacing w:before="60" w:after="60" w:line="276" w:lineRule="auto"/>
      </w:pPr>
    </w:p>
    <w:p>
      <w:pPr>
        <w:spacing w:before="0" w:after="120" w:line="276" w:lineRule="auto"/>
      </w:pPr>
      <w:r>
        <w:rPr>
          <w:rFonts w:ascii="Calibri" w:hAnsi="Calibri" w:eastAsia="Calibri"/>
          <w:b w:val="0"/>
          <w:i/>
          <w:caps w:val="0"/>
          <w:color w:val="5A6472"/>
          <w:sz w:val="15"/>
        </w:rPr>
        <w:t>Table 1 — RIYAADA Credit &amp; Award Framework. RCP = RIYAADA Credit Point (1 RCP = 10 notional learning hours).</w:t>
      </w:r>
    </w:p>
    <w:tbl>
      <w:tblPr>
        <w:tblW w:type="auto" w:w="0"/>
        <w:jc w:val="center"/>
        <w:tblLayout w:type="fixed"/>
        <w:tblLook w:firstColumn="1" w:firstRow="1" w:lastColumn="0" w:lastRow="0" w:noHBand="0" w:noVBand="1" w:val="04A0"/>
        <w:tblBorders>
          <w:top w:val="single" w:sz="8" w:space="0" w:color="C08A2E"/>
          <w:left w:val="single" w:sz="8" w:space="0" w:color="C08A2E"/>
          <w:bottom w:val="single" w:sz="8" w:space="0" w:color="C08A2E"/>
          <w:right w:val="single" w:sz="8" w:space="0" w:color="C08A2E"/>
          <w:insideH w:val="single" w:sz="4" w:space="0" w:color="C08A2E"/>
          <w:insideV w:val="single" w:sz="4" w:space="0" w:color="C08A2E"/>
        </w:tblBorders>
      </w:tblPr>
      <w:tblGrid>
        <w:gridCol w:w="9144"/>
      </w:tblGrid>
      <w:tr>
        <w:trPr>
          <w:cantSplit/>
        </w:trPr>
        <w:tc>
          <w:tcPr>
            <w:tcW w:type="dxa" w:w="9749"/>
            <w:shd w:fill="FBF6EA" w:val="clear"/>
            <w:tcMar>
              <w:top w:w="120" w:type="dxa"/>
              <w:start w:w="180" w:type="dxa"/>
              <w:bottom w:w="120" w:type="dxa"/>
              <w:end w:w="150" w:type="dxa"/>
            </w:tcMar>
          </w:tcPr>
          <w:p>
            <w:pPr>
              <w:spacing w:after="80"/>
            </w:pPr>
            <w:r>
              <w:rPr>
                <w:rFonts w:ascii="Calibri" w:hAnsi="Calibri" w:eastAsia="Calibri"/>
                <w:b/>
                <w:i w:val="0"/>
                <w:caps w:val="0"/>
                <w:color w:val="A5761F"/>
                <w:sz w:val="19"/>
              </w:rPr>
              <w:t>HOW THE FRAMEWORK IS USED</w:t>
            </w:r>
          </w:p>
          <w:p>
            <w:pPr>
              <w:spacing w:after="60" w:line="264" w:lineRule="auto"/>
            </w:pPr>
            <w:r>
              <w:rPr>
                <w:rFonts w:ascii="Cambria" w:hAnsi="Cambria" w:eastAsia="Cambria"/>
                <w:b w:val="0"/>
                <w:i w:val="0"/>
                <w:caps w:val="0"/>
                <w:color w:val="20242B"/>
                <w:sz w:val="19"/>
              </w:rPr>
              <w:t>Credit is awarded on demonstrated competence, never on attendance alone. A learner who attends fully but does not submit the assessed applied output receives a Certificate of Participation (RL1), not the Professional Certificate (RL2).</w:t>
            </w:r>
          </w:p>
          <w:p>
            <w:pPr>
              <w:spacing w:after="60" w:line="264" w:lineRule="auto"/>
            </w:pPr>
            <w:r>
              <w:rPr>
                <w:rFonts w:ascii="Cambria" w:hAnsi="Cambria" w:eastAsia="Cambria"/>
                <w:b w:val="0"/>
                <w:i w:val="0"/>
                <w:caps w:val="0"/>
                <w:color w:val="20242B"/>
                <w:sz w:val="19"/>
              </w:rPr>
              <w:t>Credit earned is recorded in the learner’s Executive Development Record and remains valid for five years for the purpose of building an Advanced Certificate or Executive Diploma.</w:t>
            </w:r>
          </w:p>
        </w:tc>
      </w:tr>
    </w:tbl>
    <w:p>
      <w:pPr>
        <w:spacing w:before="60" w:after="60" w:line="276" w:lineRule="auto"/>
      </w:pPr>
    </w:p>
    <w:p>
      <w:pPr>
        <w:pStyle w:val="Heading2"/>
        <w:keepNext/>
      </w:pPr>
      <w:r>
        <w:t>2.3 Three-tier management stratification</w:t>
      </w:r>
    </w:p>
    <w:p>
      <w:pPr>
        <w:spacing w:before="40" w:after="120" w:line="283" w:lineRule="auto"/>
        <w:jc w:val="both"/>
      </w:pPr>
      <w:r>
        <w:rPr>
          <w:rFonts w:ascii="Cambria" w:hAnsi="Cambria" w:eastAsia="Cambria"/>
          <w:b w:val="0"/>
          <w:i w:val="0"/>
          <w:caps w:val="0"/>
          <w:color w:val="20242B"/>
          <w:sz w:val="20"/>
        </w:rPr>
        <w:t>Every course states the management tier it primarily serves, so that cohorts are composed of peers who share a decision horizon.</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1872"/>
        <w:gridCol w:w="3384"/>
        <w:gridCol w:w="3888"/>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TIER</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WHO</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DECISION FOCUS</w:t>
            </w:r>
          </w:p>
        </w:tc>
      </w:tr>
      <w:tr>
        <w:trPr>
          <w:cantSplit/>
        </w:trPr>
        <w:tc>
          <w:tcPr>
            <w:tcW w:type="dxa" w:w="187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Tier 01 — Top management</w:t>
            </w:r>
          </w:p>
        </w:tc>
        <w:tc>
          <w:tcPr>
            <w:tcW w:type="dxa" w:w="338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Boards, founders, chairpersons, chief executives, ministers, directors general and senior institutional stewards.</w:t>
            </w:r>
          </w:p>
        </w:tc>
        <w:tc>
          <w:tcPr>
            <w:tcW w:type="dxa" w:w="388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Purpose, legitimacy, strategic direction, fiduciary responsibility, institutional sustainability.</w:t>
            </w:r>
          </w:p>
        </w:tc>
      </w:tr>
      <w:tr>
        <w:trPr>
          <w:cantSplit/>
        </w:trPr>
        <w:tc>
          <w:tcPr>
            <w:tcW w:type="dxa" w:w="1872"/>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Tier 02 — Middle management</w:t>
            </w:r>
          </w:p>
        </w:tc>
        <w:tc>
          <w:tcPr>
            <w:tcW w:type="dxa" w:w="338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Departmental directors, deans, division heads, programme managers, policy leads and reform coordinators.</w:t>
            </w:r>
          </w:p>
        </w:tc>
        <w:tc>
          <w:tcPr>
            <w:tcW w:type="dxa" w:w="388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Translating strategic intent into coordinated implementation and system strengthening.</w:t>
            </w:r>
          </w:p>
        </w:tc>
      </w:tr>
      <w:tr>
        <w:trPr>
          <w:cantSplit/>
        </w:trPr>
        <w:tc>
          <w:tcPr>
            <w:tcW w:type="dxa" w:w="187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Tier 03 — Supervisory / first line</w:t>
            </w:r>
          </w:p>
        </w:tc>
        <w:tc>
          <w:tcPr>
            <w:tcW w:type="dxa" w:w="338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Supervisors, team leaders, unit heads and project coordinators.</w:t>
            </w:r>
          </w:p>
        </w:tc>
        <w:tc>
          <w:tcPr>
            <w:tcW w:type="dxa" w:w="388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Daily operational discipline, team performance, service quality and problem solving.</w:t>
            </w:r>
          </w:p>
        </w:tc>
      </w:tr>
    </w:tbl>
    <w:p>
      <w:pPr>
        <w:spacing w:before="60" w:after="60" w:line="276" w:lineRule="auto"/>
      </w:pPr>
    </w:p>
    <w:p>
      <w:pPr>
        <w:pStyle w:val="Heading2"/>
        <w:keepNext/>
      </w:pPr>
      <w:r>
        <w:t>2.4 The RIYAADA curricular spine</w:t>
      </w:r>
    </w:p>
    <w:p>
      <w:pPr>
        <w:spacing w:before="40" w:after="120" w:line="283" w:lineRule="auto"/>
        <w:jc w:val="both"/>
      </w:pPr>
      <w:r>
        <w:rPr>
          <w:rFonts w:ascii="Cambria" w:hAnsi="Cambria" w:eastAsia="Cambria"/>
          <w:b w:val="0"/>
          <w:i w:val="0"/>
          <w:caps w:val="0"/>
          <w:color w:val="20242B"/>
          <w:sz w:val="20"/>
        </w:rPr>
        <w:t>Four proprietary frameworks form the curricular spine that runs through every course, giving learners a common language across tiers and Schools.</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1512"/>
        <w:gridCol w:w="2232"/>
        <w:gridCol w:w="5400"/>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FRAMEWORK</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FUNCTION</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ELEMENTS</w:t>
            </w:r>
          </w:p>
        </w:tc>
      </w:tr>
      <w:tr>
        <w:trPr>
          <w:cantSplit/>
        </w:trPr>
        <w:tc>
          <w:tcPr>
            <w:tcW w:type="dxa" w:w="151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LEADER</w:t>
            </w:r>
          </w:p>
        </w:tc>
        <w:tc>
          <w:tcPr>
            <w:tcW w:type="dxa" w:w="2232"/>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Personal and ethical leadership</w:t>
            </w:r>
          </w:p>
        </w:tc>
        <w:tc>
          <w:tcPr>
            <w:tcW w:type="dxa" w:w="540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Listen • Envision • Align • Decide • Engage • Reflect</w:t>
            </w:r>
          </w:p>
        </w:tc>
      </w:tr>
      <w:tr>
        <w:trPr>
          <w:cantSplit/>
        </w:trPr>
        <w:tc>
          <w:tcPr>
            <w:tcW w:type="dxa" w:w="1512"/>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MANAGER</w:t>
            </w:r>
          </w:p>
        </w:tc>
        <w:tc>
          <w:tcPr>
            <w:tcW w:type="dxa" w:w="2232"/>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Operational and performance management</w:t>
            </w:r>
          </w:p>
        </w:tc>
        <w:tc>
          <w:tcPr>
            <w:tcW w:type="dxa" w:w="540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Measure • Allocate • Navigate • Govern • Execute • Review</w:t>
            </w:r>
          </w:p>
        </w:tc>
      </w:tr>
      <w:tr>
        <w:trPr>
          <w:cantSplit/>
        </w:trPr>
        <w:tc>
          <w:tcPr>
            <w:tcW w:type="dxa" w:w="1512"/>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DIRECTOR</w:t>
            </w:r>
          </w:p>
        </w:tc>
        <w:tc>
          <w:tcPr>
            <w:tcW w:type="dxa" w:w="2232"/>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Governance, oversight and fiduciary stewardship</w:t>
            </w:r>
          </w:p>
        </w:tc>
        <w:tc>
          <w:tcPr>
            <w:tcW w:type="dxa" w:w="540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Define • Integrate • Risk-manage • Ensure ethics • Control • Track • Oversee • Report</w:t>
            </w:r>
          </w:p>
        </w:tc>
      </w:tr>
      <w:tr>
        <w:trPr>
          <w:cantSplit/>
        </w:trPr>
        <w:tc>
          <w:tcPr>
            <w:tcW w:type="dxa" w:w="1512"/>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LEADERSHIP</w:t>
            </w:r>
          </w:p>
        </w:tc>
        <w:tc>
          <w:tcPr>
            <w:tcW w:type="dxa" w:w="2232"/>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Institutional transformation and public value</w:t>
            </w:r>
          </w:p>
        </w:tc>
        <w:tc>
          <w:tcPr>
            <w:tcW w:type="dxa" w:w="540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Legitimacy • Evidence • Accountability • Direction • Execution • Resilience • Systems • Human capital • Innovation • Partnership</w:t>
            </w:r>
          </w:p>
        </w:tc>
      </w:tr>
    </w:tbl>
    <w:p>
      <w:pPr>
        <w:spacing w:before="60" w:after="60" w:line="276" w:lineRule="auto"/>
      </w:pPr>
    </w:p>
    <w:p>
      <w:pPr>
        <w:spacing w:before="40" w:after="120" w:line="283" w:lineRule="auto"/>
        <w:jc w:val="both"/>
      </w:pPr>
      <w:r>
        <w:rPr>
          <w:rFonts w:ascii="Cambria" w:hAnsi="Cambria" w:eastAsia="Cambria"/>
          <w:b w:val="0"/>
          <w:i w:val="0"/>
          <w:caps w:val="0"/>
          <w:color w:val="20242B"/>
          <w:sz w:val="20"/>
        </w:rPr>
        <w:t>Across all Schools, seven high-impact competencies are diagnosed on entry, developed during delivery and re-assessed on completion.</w:t>
      </w:r>
    </w:p>
    <w:p>
      <w:pPr>
        <w:pStyle w:val="ListNumber"/>
        <w:spacing w:before="20" w:after="60" w:line="269" w:lineRule="auto"/>
      </w:pPr>
      <w:r>
        <w:rPr>
          <w:rFonts w:ascii="Cambria" w:hAnsi="Cambria" w:eastAsia="Cambria"/>
          <w:b w:val="0"/>
          <w:i w:val="0"/>
          <w:caps w:val="0"/>
          <w:color w:val="20242B"/>
          <w:sz w:val="19"/>
        </w:rPr>
        <w:t>Ethical and accountable leadership.</w:t>
      </w:r>
    </w:p>
    <w:p>
      <w:pPr>
        <w:pStyle w:val="ListNumber"/>
        <w:spacing w:before="20" w:after="60" w:line="269" w:lineRule="auto"/>
      </w:pPr>
      <w:r>
        <w:rPr>
          <w:rFonts w:ascii="Cambria" w:hAnsi="Cambria" w:eastAsia="Cambria"/>
          <w:b w:val="0"/>
          <w:i w:val="0"/>
          <w:caps w:val="0"/>
          <w:color w:val="20242B"/>
          <w:sz w:val="19"/>
        </w:rPr>
        <w:t>Strategic thinking, direction-setting and public-value orientation.</w:t>
      </w:r>
    </w:p>
    <w:p>
      <w:pPr>
        <w:pStyle w:val="ListNumber"/>
        <w:spacing w:before="20" w:after="60" w:line="269" w:lineRule="auto"/>
      </w:pPr>
      <w:r>
        <w:rPr>
          <w:rFonts w:ascii="Cambria" w:hAnsi="Cambria" w:eastAsia="Cambria"/>
          <w:b w:val="0"/>
          <w:i w:val="0"/>
          <w:caps w:val="0"/>
          <w:color w:val="20242B"/>
          <w:sz w:val="19"/>
        </w:rPr>
        <w:t>Governance, fiduciary oversight, risk management and institutional stewardship.</w:t>
      </w:r>
    </w:p>
    <w:p>
      <w:pPr>
        <w:pStyle w:val="ListNumber"/>
        <w:spacing w:before="20" w:after="60" w:line="269" w:lineRule="auto"/>
      </w:pPr>
      <w:r>
        <w:rPr>
          <w:rFonts w:ascii="Cambria" w:hAnsi="Cambria" w:eastAsia="Cambria"/>
          <w:b w:val="0"/>
          <w:i w:val="0"/>
          <w:caps w:val="0"/>
          <w:color w:val="20242B"/>
          <w:sz w:val="19"/>
        </w:rPr>
        <w:t>Evidence-informed decision-making, policy analysis and data literacy.</w:t>
      </w:r>
    </w:p>
    <w:p>
      <w:pPr>
        <w:pStyle w:val="ListNumber"/>
        <w:spacing w:before="20" w:after="60" w:line="269" w:lineRule="auto"/>
      </w:pPr>
      <w:r>
        <w:rPr>
          <w:rFonts w:ascii="Cambria" w:hAnsi="Cambria" w:eastAsia="Cambria"/>
          <w:b w:val="0"/>
          <w:i w:val="0"/>
          <w:caps w:val="0"/>
          <w:color w:val="20242B"/>
          <w:sz w:val="19"/>
        </w:rPr>
        <w:t>People, team, stakeholder and partnership leadership.</w:t>
      </w:r>
    </w:p>
    <w:p>
      <w:pPr>
        <w:pStyle w:val="ListNumber"/>
        <w:spacing w:before="20" w:after="60" w:line="269" w:lineRule="auto"/>
      </w:pPr>
      <w:r>
        <w:rPr>
          <w:rFonts w:ascii="Cambria" w:hAnsi="Cambria" w:eastAsia="Cambria"/>
          <w:b w:val="0"/>
          <w:i w:val="0"/>
          <w:caps w:val="0"/>
          <w:color w:val="20242B"/>
          <w:sz w:val="19"/>
        </w:rPr>
        <w:t>Execution, change management, service improvement and performance discipline.</w:t>
      </w:r>
    </w:p>
    <w:p>
      <w:pPr>
        <w:pStyle w:val="ListNumber"/>
        <w:spacing w:before="20" w:after="60" w:line="269" w:lineRule="auto"/>
      </w:pPr>
      <w:r>
        <w:rPr>
          <w:rFonts w:ascii="Cambria" w:hAnsi="Cambria" w:eastAsia="Cambria"/>
          <w:b w:val="0"/>
          <w:i w:val="0"/>
          <w:caps w:val="0"/>
          <w:color w:val="20242B"/>
          <w:sz w:val="19"/>
        </w:rPr>
        <w:t>Communication, influence, reflection and adaptive learning.</w:t>
      </w:r>
    </w:p>
    <w:p>
      <w:r>
        <w:br w:type="page"/>
      </w:r>
    </w:p>
    <w:p>
      <w:pPr>
        <w:pStyle w:val="Heading1"/>
        <w:keepNext/>
      </w:pPr>
      <w:r>
        <w:t>3. Programme Portfolio at a Glance</w:t>
      </w:r>
    </w:p>
    <w:p>
      <w:pPr>
        <w:spacing w:before="40" w:after="120" w:line="283" w:lineRule="auto"/>
        <w:jc w:val="both"/>
      </w:pPr>
      <w:r>
        <w:rPr>
          <w:rFonts w:ascii="Cambria" w:hAnsi="Cambria" w:eastAsia="Cambria"/>
          <w:b w:val="0"/>
          <w:i w:val="0"/>
          <w:caps w:val="0"/>
          <w:color w:val="20242B"/>
          <w:sz w:val="20"/>
        </w:rPr>
        <w:t>The table below lists every course currently offered. Course codes are permanent; duration is the default intensive format and may be re-sequenced into modular or block-release delivery on commission.</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1524"/>
        <w:gridCol w:w="4191"/>
        <w:gridCol w:w="838"/>
        <w:gridCol w:w="1219"/>
        <w:gridCol w:w="686"/>
        <w:gridCol w:w="686"/>
      </w:tblGrid>
      <w:tr>
        <w:trPr>
          <w:tblHeader w:val="true"/>
        </w:trPr>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COURSE CODE</w:t>
            </w:r>
          </w:p>
        </w:tc>
        <w:tc>
          <w:tcPr>
            <w:tcW w:type="dxa" w:w="1625"/>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4"/>
              </w:rPr>
              <w:t>COURSE TITLE</w:t>
            </w:r>
          </w:p>
        </w:tc>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SCHOOL</w:t>
            </w:r>
          </w:p>
        </w:tc>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PRIMARY TIER</w:t>
            </w:r>
          </w:p>
        </w:tc>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DAYS</w:t>
            </w:r>
          </w:p>
        </w:tc>
        <w:tc>
          <w:tcPr>
            <w:tcW w:type="dxa" w:w="1625"/>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4"/>
              </w:rPr>
              <w:t>RCP</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RA-PLG-101</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Public Leadership &amp; Governance</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RA-CGV-102</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Corporate Governance</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RA-BGD-103</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Board Governance &amp; Director Development</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RA-EIA-104</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Ethics, Integrity &amp; Accountability</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RA-PPA-105</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Public Policy Analysis &amp; Development</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RA-GAR-106</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Government Administration &amp; Public Sector Reform</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S1</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RA-HLMG-201</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Hospital Leadership, Management &amp; Governance</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10</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9</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RA-HFN-202</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Health Financing &amp; Social Health Insurance</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RA-UHC-203</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Universal Health Coverage &amp; Strategic Purchasing</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RA-QPS-204</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Quality Improvement &amp; Patient Safety</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RA-HRH-205</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Health Workforce Planning &amp; Management</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RA-DHG-206</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Digital Health &amp; Health Information Governance</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S2</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RA-ITC-301</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Institutional Transformation &amp; Change Management</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S3</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RA-EXL-302</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Executive Leadership</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S3</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RA-SMO-303</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Strategic Management &amp; Organizational Transformation</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S3</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RA-PFM-304</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Public Financial Management &amp; Institutional Budgeting</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S3</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RA-PMG-305</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Project &amp; Programme Management for Institutions</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S3</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RA-RES-401</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Applied Research Design &amp; Methods</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S4</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7</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RA-MEL-402</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Monitoring, Evaluation, Accountability &amp; Learning</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S4</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6</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RA-SWP-403</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Scientific Writing &amp; Academic Publishing</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S4</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02/03</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r>
      <w:tr>
        <w:trPr>
          <w:cantSplit/>
        </w:trPr>
        <w:tc>
          <w:tcPr>
            <w:tcW w:type="dxa" w:w="152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RA-DAT-404</w:t>
            </w:r>
          </w:p>
        </w:tc>
        <w:tc>
          <w:tcPr>
            <w:tcW w:type="dxa" w:w="4191"/>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Data Literacy &amp; Evidence for Decision-Makers</w:t>
            </w:r>
          </w:p>
        </w:tc>
        <w:tc>
          <w:tcPr>
            <w:tcW w:type="dxa" w:w="838"/>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S4</w:t>
            </w:r>
          </w:p>
        </w:tc>
        <w:tc>
          <w:tcPr>
            <w:tcW w:type="dxa" w:w="1219"/>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4</w:t>
            </w:r>
          </w:p>
        </w:tc>
      </w:tr>
      <w:tr>
        <w:trPr>
          <w:cantSplit/>
        </w:trPr>
        <w:tc>
          <w:tcPr>
            <w:tcW w:type="dxa" w:w="152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5"/>
              </w:rPr>
              <w:t>RA-GWR-405</w:t>
            </w:r>
          </w:p>
        </w:tc>
        <w:tc>
          <w:tcPr>
            <w:tcW w:type="dxa" w:w="4191"/>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5"/>
              </w:rPr>
              <w:t>Grant Writing &amp; Resource Mobilisation</w:t>
            </w:r>
          </w:p>
        </w:tc>
        <w:tc>
          <w:tcPr>
            <w:tcW w:type="dxa" w:w="838"/>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S4</w:t>
            </w:r>
          </w:p>
        </w:tc>
        <w:tc>
          <w:tcPr>
            <w:tcW w:type="dxa" w:w="1219"/>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01/02</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5</w:t>
            </w:r>
          </w:p>
        </w:tc>
        <w:tc>
          <w:tcPr>
            <w:tcW w:type="dxa" w:w="686"/>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5"/>
              </w:rPr>
              <w:t>4</w:t>
            </w:r>
          </w:p>
        </w:tc>
      </w:tr>
    </w:tbl>
    <w:p>
      <w:pPr>
        <w:spacing w:before="60" w:after="60" w:line="276" w:lineRule="auto"/>
      </w:pPr>
    </w:p>
    <w:p>
      <w:pPr>
        <w:spacing w:before="0" w:after="120" w:line="276" w:lineRule="auto"/>
      </w:pPr>
      <w:r>
        <w:rPr>
          <w:rFonts w:ascii="Calibri" w:hAnsi="Calibri" w:eastAsia="Calibri"/>
          <w:b w:val="0"/>
          <w:i/>
          <w:caps w:val="0"/>
          <w:color w:val="5A6472"/>
          <w:sz w:val="15"/>
        </w:rPr>
        <w:t>Table 2 — RIYAADA Academy course portfolio, 2026 edition. Twenty-two courses; 138 default delivery days; 133 RCP of available credit.</w:t>
      </w:r>
    </w:p>
    <w:tbl>
      <w:tblPr>
        <w:tblW w:type="auto" w:w="0"/>
        <w:jc w:val="center"/>
        <w:tblLayout w:type="fixed"/>
        <w:tblLook w:firstColumn="1" w:firstRow="1" w:lastColumn="0" w:lastRow="0" w:noHBand="0" w:noVBand="1" w:val="04A0"/>
        <w:tblBorders>
          <w:top w:val="single" w:sz="8" w:space="0" w:color="13787F"/>
          <w:left w:val="single" w:sz="8" w:space="0" w:color="13787F"/>
          <w:bottom w:val="single" w:sz="8" w:space="0" w:color="13787F"/>
          <w:right w:val="single" w:sz="8" w:space="0" w:color="13787F"/>
          <w:insideH w:val="single" w:sz="4" w:space="0" w:color="13787F"/>
          <w:insideV w:val="single" w:sz="4" w:space="0" w:color="13787F"/>
        </w:tblBorders>
      </w:tblPr>
      <w:tblGrid>
        <w:gridCol w:w="9144"/>
      </w:tblGrid>
      <w:tr>
        <w:trPr>
          <w:cantSplit/>
        </w:trPr>
        <w:tc>
          <w:tcPr>
            <w:tcW w:type="dxa" w:w="9749"/>
            <w:shd w:fill="EAF4F5" w:val="clear"/>
            <w:tcMar>
              <w:top w:w="120" w:type="dxa"/>
              <w:start w:w="180" w:type="dxa"/>
              <w:bottom w:w="120" w:type="dxa"/>
              <w:end w:w="150" w:type="dxa"/>
            </w:tcMar>
          </w:tcPr>
          <w:p>
            <w:pPr>
              <w:spacing w:after="80"/>
            </w:pPr>
            <w:r>
              <w:rPr>
                <w:rFonts w:ascii="Calibri" w:hAnsi="Calibri" w:eastAsia="Calibri"/>
                <w:b/>
                <w:i w:val="0"/>
                <w:caps w:val="0"/>
                <w:color w:val="13787F"/>
                <w:sz w:val="19"/>
              </w:rPr>
              <w:t>COMMISSIONING NOTE</w:t>
            </w:r>
          </w:p>
          <w:p>
            <w:pPr>
              <w:spacing w:after="60" w:line="264" w:lineRule="auto"/>
            </w:pPr>
            <w:r>
              <w:rPr>
                <w:rFonts w:ascii="Cambria" w:hAnsi="Cambria" w:eastAsia="Cambria"/>
                <w:b w:val="0"/>
                <w:i w:val="0"/>
                <w:caps w:val="0"/>
                <w:color w:val="20242B"/>
                <w:sz w:val="19"/>
              </w:rPr>
              <w:t>Any course may be commissioned as an in-house cohort for a ministry, agency, hospital, bank, university or development programme. Sector examples, policy references, case materials and assessed outputs are then customised to the commissioning institution without weakening the competency standard or the certification threshold.</w:t>
            </w:r>
          </w:p>
        </w:tc>
      </w:tr>
    </w:tbl>
    <w:p>
      <w:pPr>
        <w:spacing w:before="60" w:after="60" w:line="276" w:lineRule="auto"/>
      </w:pPr>
    </w:p>
    <w:p>
      <w:r>
        <w:br w:type="page"/>
      </w:r>
    </w:p>
    <w:p>
      <w:pPr>
        <w:pStyle w:val="Heading1"/>
        <w:keepNext/>
      </w:pPr>
      <w:r>
        <w:t>4. School Profiles and Course Descriptions</w:t>
      </w:r>
    </w:p>
    <w:p>
      <w:pPr>
        <w:pStyle w:val="Heading2"/>
        <w:keepNext/>
      </w:pPr>
      <w:r>
        <w:t>4.1  S1 — School of Governance &amp; Public Leadership</w:t>
      </w:r>
    </w:p>
    <w:p>
      <w:pPr>
        <w:spacing w:before="40" w:after="120" w:line="283" w:lineRule="auto"/>
        <w:jc w:val="both"/>
      </w:pPr>
      <w:r>
        <w:rPr>
          <w:rFonts w:ascii="Cambria" w:hAnsi="Cambria" w:eastAsia="Cambria"/>
          <w:b w:val="0"/>
          <w:i w:val="0"/>
          <w:caps w:val="0"/>
          <w:color w:val="20242B"/>
          <w:sz w:val="20"/>
        </w:rPr>
        <w:t>The School addresses the central problem of fragile-state governance: converting constitutional, legal and administrative authority into legitimate, ethical and results-oriented institutional practice. Its courses form the governance core of the Executive Diploma and align directly with Somalia’s National Transformation Plan I (2025–2029) Transformational Governance pillar.</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376"/>
        <w:gridCol w:w="4104"/>
        <w:gridCol w:w="2664"/>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COURSE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AIM</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INDICATIVE APPLIED OUTPUT</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RA-PLG-101</w:t>
            </w:r>
          </w:p>
          <w:p>
            <w:pPr>
              <w:spacing w:after="0" w:line="240" w:lineRule="auto"/>
              <w:jc w:val="left"/>
            </w:pPr>
            <w:r>
              <w:rPr>
                <w:rFonts w:ascii="Calibri" w:hAnsi="Calibri" w:eastAsia="Calibri"/>
                <w:b/>
                <w:i w:val="0"/>
                <w:caps w:val="0"/>
                <w:color w:val="20242B"/>
                <w:sz w:val="16"/>
              </w:rPr>
              <w:t>Public Leadership &amp; Governance</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Develop public leaders who exercise principled authority, define institutional direction, uphold accountability and build legitimacy under conditions of limited resources and contested trust.</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Governance diagnostic; stakeholder map; governance reform action plan.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RA-CGV-102</w:t>
            </w:r>
          </w:p>
          <w:p>
            <w:pPr>
              <w:spacing w:after="0" w:line="240" w:lineRule="auto"/>
              <w:jc w:val="left"/>
            </w:pPr>
            <w:r>
              <w:rPr>
                <w:rFonts w:ascii="Calibri" w:hAnsi="Calibri" w:eastAsia="Calibri"/>
                <w:b/>
                <w:i w:val="0"/>
                <w:caps w:val="0"/>
                <w:color w:val="20242B"/>
                <w:sz w:val="16"/>
              </w:rPr>
              <w:t>Corporate Governance</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Design and strengthen governance systems that promote institutional trust, strategic oversight, risk management and long-term organisational performance.</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Governance code gap analysis; board and committee map; remediation roadmap.</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RA-BGD-103</w:t>
            </w:r>
          </w:p>
          <w:p>
            <w:pPr>
              <w:spacing w:after="0" w:line="240" w:lineRule="auto"/>
              <w:jc w:val="left"/>
            </w:pPr>
            <w:r>
              <w:rPr>
                <w:rFonts w:ascii="Calibri" w:hAnsi="Calibri" w:eastAsia="Calibri"/>
                <w:b/>
                <w:i w:val="0"/>
                <w:caps w:val="0"/>
                <w:color w:val="20242B"/>
                <w:sz w:val="16"/>
              </w:rPr>
              <w:t>Board Governance &amp; Director Development</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Professionalise board leadership and director practice so boards can discharge fiduciary duties, govern risk and strategy and evaluate their own effectiveness.</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Board charter review; board evaluation tool; succession and development plan.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RA-EIA-104</w:t>
            </w:r>
          </w:p>
          <w:p>
            <w:pPr>
              <w:spacing w:after="0" w:line="240" w:lineRule="auto"/>
              <w:jc w:val="left"/>
            </w:pPr>
            <w:r>
              <w:rPr>
                <w:rFonts w:ascii="Calibri" w:hAnsi="Calibri" w:eastAsia="Calibri"/>
                <w:b/>
                <w:i w:val="0"/>
                <w:caps w:val="0"/>
                <w:color w:val="20242B"/>
                <w:sz w:val="16"/>
              </w:rPr>
              <w:t>Ethics, Integrity &amp; Accountability</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Move participants from personal ethical reasoning to institutional integrity architecture — controls, disclosure, protection and enforcement.</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Integrity risk map; conflict-of-interest controls; organisational integrity programme.</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RA-PPA-105</w:t>
            </w:r>
          </w:p>
          <w:p>
            <w:pPr>
              <w:spacing w:after="0" w:line="240" w:lineRule="auto"/>
              <w:jc w:val="left"/>
            </w:pPr>
            <w:r>
              <w:rPr>
                <w:rFonts w:ascii="Calibri" w:hAnsi="Calibri" w:eastAsia="Calibri"/>
                <w:b/>
                <w:i w:val="0"/>
                <w:caps w:val="0"/>
                <w:color w:val="20242B"/>
                <w:sz w:val="16"/>
              </w:rPr>
              <w:t>Public Policy Analysis &amp; Development</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Produce decision-ready policy advice that is analytically sound, politically feasible and implementation-aware.</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Policy alternatives matrix; trade-off analysis; decision-ready policy memorandum.</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RA-GAR-106</w:t>
            </w:r>
          </w:p>
          <w:p>
            <w:pPr>
              <w:spacing w:after="0" w:line="240" w:lineRule="auto"/>
              <w:jc w:val="left"/>
            </w:pPr>
            <w:r>
              <w:rPr>
                <w:rFonts w:ascii="Calibri" w:hAnsi="Calibri" w:eastAsia="Calibri"/>
                <w:b/>
                <w:i w:val="0"/>
                <w:caps w:val="0"/>
                <w:color w:val="20242B"/>
                <w:sz w:val="16"/>
              </w:rPr>
              <w:t>Government Administration &amp; Public Sector Reform</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Analyse administrative systems, select context-appropriate reform models and sequence reform that is technically sound and institutionally sustainable.</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Administrative model assessment; civil-service reform design; sequenced reform roadmap.</w:t>
            </w:r>
          </w:p>
        </w:tc>
      </w:tr>
    </w:tbl>
    <w:p>
      <w:pPr>
        <w:spacing w:before="60" w:after="60" w:line="276" w:lineRule="auto"/>
      </w:pPr>
    </w:p>
    <w:p>
      <w:pPr>
        <w:pStyle w:val="Heading2"/>
        <w:keepNext/>
      </w:pPr>
      <w:r>
        <w:t>4.2  S2 — School of Health Systems, Policy &amp; Financing</w:t>
      </w:r>
    </w:p>
    <w:p>
      <w:pPr>
        <w:spacing w:before="40" w:after="120" w:line="283" w:lineRule="auto"/>
        <w:jc w:val="both"/>
      </w:pPr>
      <w:r>
        <w:rPr>
          <w:rFonts w:ascii="Cambria" w:hAnsi="Cambria" w:eastAsia="Cambria"/>
          <w:b w:val="0"/>
          <w:i w:val="0"/>
          <w:caps w:val="0"/>
          <w:color w:val="20242B"/>
          <w:sz w:val="20"/>
        </w:rPr>
        <w:t>The School is RIYAADA’s applied response to a health sector entering a new institutional era. As national standards consolidate, hospital administration professionalises and social health insurance is established, providers are increasingly contracted, inspected, measured and paid on the basis of documented systems, verified quality and credible data. These courses build precisely those systems.</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376"/>
        <w:gridCol w:w="4104"/>
        <w:gridCol w:w="2664"/>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COURSE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AIM</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INDICATIVE APPLIED OUTPUT</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RA-HLMG-201</w:t>
            </w:r>
          </w:p>
          <w:p>
            <w:pPr>
              <w:spacing w:after="0" w:line="240" w:lineRule="auto"/>
              <w:jc w:val="left"/>
            </w:pPr>
            <w:r>
              <w:rPr>
                <w:rFonts w:ascii="Calibri" w:hAnsi="Calibri" w:eastAsia="Calibri"/>
                <w:b/>
                <w:i w:val="0"/>
                <w:caps w:val="0"/>
                <w:color w:val="20242B"/>
                <w:sz w:val="16"/>
              </w:rPr>
              <w:t>Hospital Leadership, Management &amp; Governance</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Build the leadership, management and governance competencies required to run a safe, accountable, efficient and patient-centred hospital, and leave behind functioning systems that outlast the training.</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Departmental SOP; scored IPC audit; risk register; hospital dashboard; PDSA capstone charter.</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RA-HFN-202</w:t>
            </w:r>
          </w:p>
          <w:p>
            <w:pPr>
              <w:spacing w:after="0" w:line="240" w:lineRule="auto"/>
              <w:jc w:val="left"/>
            </w:pPr>
            <w:r>
              <w:rPr>
                <w:rFonts w:ascii="Calibri" w:hAnsi="Calibri" w:eastAsia="Calibri"/>
                <w:b/>
                <w:i w:val="0"/>
                <w:caps w:val="0"/>
                <w:color w:val="20242B"/>
                <w:sz w:val="16"/>
              </w:rPr>
              <w:t>Health Financing &amp; Social Health Insurance</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Equip leaders to analyse revenue raising, pooling and purchasing, and to design financial-protection mechanisms that reduce catastrophic health expenditure.</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Financing-flow map; benefit-package costing note; provider-payment options paper.</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RA-UHC-203</w:t>
            </w:r>
          </w:p>
          <w:p>
            <w:pPr>
              <w:spacing w:after="0" w:line="240" w:lineRule="auto"/>
              <w:jc w:val="left"/>
            </w:pPr>
            <w:r>
              <w:rPr>
                <w:rFonts w:ascii="Calibri" w:hAnsi="Calibri" w:eastAsia="Calibri"/>
                <w:b/>
                <w:i w:val="0"/>
                <w:caps w:val="0"/>
                <w:color w:val="20242B"/>
                <w:sz w:val="16"/>
              </w:rPr>
              <w:t>Universal Health Coverage &amp; Strategic Purchasing</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Translate UHC commitments into purchasing arrangements, empanelment standards, contracting and quality-linked payment.</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Empanelment readiness assessment; purchasing framework; contract specimen.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RA-QPS-204</w:t>
            </w:r>
          </w:p>
          <w:p>
            <w:pPr>
              <w:spacing w:after="0" w:line="240" w:lineRule="auto"/>
              <w:jc w:val="left"/>
            </w:pPr>
            <w:r>
              <w:rPr>
                <w:rFonts w:ascii="Calibri" w:hAnsi="Calibri" w:eastAsia="Calibri"/>
                <w:b/>
                <w:i w:val="0"/>
                <w:caps w:val="0"/>
                <w:color w:val="20242B"/>
                <w:sz w:val="16"/>
              </w:rPr>
              <w:t>Quality Improvement &amp; Patient Safety</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Embed continuous improvement, clinical audit, incident reporting and just-culture safety practice in routine service delivery.</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Completed clinical audit cycle; RCA report; quality improvement charter.</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RA-HRH-205</w:t>
            </w:r>
          </w:p>
          <w:p>
            <w:pPr>
              <w:spacing w:after="0" w:line="240" w:lineRule="auto"/>
              <w:jc w:val="left"/>
            </w:pPr>
            <w:r>
              <w:rPr>
                <w:rFonts w:ascii="Calibri" w:hAnsi="Calibri" w:eastAsia="Calibri"/>
                <w:b/>
                <w:i w:val="0"/>
                <w:caps w:val="0"/>
                <w:color w:val="20242B"/>
                <w:sz w:val="16"/>
              </w:rPr>
              <w:t>Health Workforce Planning &amp; Management</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Plan staffing against workload and service norms and operate a fair performance-management cycle within real resource constraints.</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Departmental staffing plan; appraisal instrument; retention and motivation plan.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RA-DHG-206</w:t>
            </w:r>
          </w:p>
          <w:p>
            <w:pPr>
              <w:spacing w:after="0" w:line="240" w:lineRule="auto"/>
              <w:jc w:val="left"/>
            </w:pPr>
            <w:r>
              <w:rPr>
                <w:rFonts w:ascii="Calibri" w:hAnsi="Calibri" w:eastAsia="Calibri"/>
                <w:b/>
                <w:i w:val="0"/>
                <w:caps w:val="0"/>
                <w:color w:val="20242B"/>
                <w:sz w:val="16"/>
              </w:rPr>
              <w:t>Digital Health &amp; Health Information Governance</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Strengthen routine information systems, data quality and information governance so that data can be trusted for management decisions.</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Data-quality audit; information governance policy; readiness assessment.</w:t>
            </w:r>
          </w:p>
        </w:tc>
      </w:tr>
    </w:tbl>
    <w:p>
      <w:pPr>
        <w:spacing w:before="60" w:after="60" w:line="276" w:lineRule="auto"/>
      </w:pPr>
    </w:p>
    <w:p>
      <w:pPr>
        <w:pStyle w:val="Heading2"/>
        <w:keepNext/>
      </w:pPr>
      <w:r>
        <w:t>4.3  S3 — School of Strategy, Management &amp; Institutional Transformation</w:t>
      </w:r>
    </w:p>
    <w:p>
      <w:pPr>
        <w:spacing w:before="40" w:after="120" w:line="283" w:lineRule="auto"/>
        <w:jc w:val="both"/>
      </w:pPr>
      <w:r>
        <w:rPr>
          <w:rFonts w:ascii="Cambria" w:hAnsi="Cambria" w:eastAsia="Cambria"/>
          <w:b w:val="0"/>
          <w:i w:val="0"/>
          <w:caps w:val="0"/>
          <w:color w:val="20242B"/>
          <w:sz w:val="20"/>
        </w:rPr>
        <w:t>Reform fails less often because the technical design is weak than because the organisational, political and human conditions for adoption were underestimated. This School treats transformation as a leadership discipline connecting strategic intent with structures, people, systems, culture and measurable results.</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376"/>
        <w:gridCol w:w="4104"/>
        <w:gridCol w:w="2664"/>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COURSE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AIM</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INDICATIVE APPLIED OUTPUT</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RA-ITC-301</w:t>
            </w:r>
          </w:p>
          <w:p>
            <w:pPr>
              <w:spacing w:after="0" w:line="240" w:lineRule="auto"/>
              <w:jc w:val="left"/>
            </w:pPr>
            <w:r>
              <w:rPr>
                <w:rFonts w:ascii="Calibri" w:hAnsi="Calibri" w:eastAsia="Calibri"/>
                <w:b/>
                <w:i w:val="0"/>
                <w:caps w:val="0"/>
                <w:color w:val="20242B"/>
                <w:sz w:val="16"/>
              </w:rPr>
              <w:t>Institutional Transformation &amp; Change Management</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Diagnose readiness, build sponsorship, manage resistance and embed transformation beyond initial implementation.</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Case for change; stakeholder and resistance map; integrated transformation roadmap.</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RA-EXL-302</w:t>
            </w:r>
          </w:p>
          <w:p>
            <w:pPr>
              <w:spacing w:after="0" w:line="240" w:lineRule="auto"/>
              <w:jc w:val="left"/>
            </w:pPr>
            <w:r>
              <w:rPr>
                <w:rFonts w:ascii="Calibri" w:hAnsi="Calibri" w:eastAsia="Calibri"/>
                <w:b/>
                <w:i w:val="0"/>
                <w:caps w:val="0"/>
                <w:color w:val="20242B"/>
                <w:sz w:val="16"/>
              </w:rPr>
              <w:t>Executive Leadership</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Develop self-aware, emotionally intelligent and ethically grounded leaders who translate intention into observable behaviour and team performance.</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Leadership self-assessment; team leadership practice plan; personal development plan.</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RA-SMO-303</w:t>
            </w:r>
          </w:p>
          <w:p>
            <w:pPr>
              <w:spacing w:after="0" w:line="240" w:lineRule="auto"/>
              <w:jc w:val="left"/>
            </w:pPr>
            <w:r>
              <w:rPr>
                <w:rFonts w:ascii="Calibri" w:hAnsi="Calibri" w:eastAsia="Calibri"/>
                <w:b/>
                <w:i w:val="0"/>
                <w:caps w:val="0"/>
                <w:color w:val="20242B"/>
                <w:sz w:val="16"/>
              </w:rPr>
              <w:t>Strategic Management &amp; Organizational Transformation</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Move from strategic analysis to strategy maps, balanced scorecards, indicators, initiatives and transformation plans that guide real action.</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Strategic analysis pack; strategy map and scorecard; execution plan.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RA-PFM-304</w:t>
            </w:r>
          </w:p>
          <w:p>
            <w:pPr>
              <w:spacing w:after="0" w:line="240" w:lineRule="auto"/>
              <w:jc w:val="left"/>
            </w:pPr>
            <w:r>
              <w:rPr>
                <w:rFonts w:ascii="Calibri" w:hAnsi="Calibri" w:eastAsia="Calibri"/>
                <w:b/>
                <w:i w:val="0"/>
                <w:caps w:val="0"/>
                <w:color w:val="20242B"/>
                <w:sz w:val="16"/>
              </w:rPr>
              <w:t>Public Financial Management &amp; Institutional Budgeting</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Prepare, execute and control an activity-based budget with internal controls and reports a board can act on.</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Activity-based budget; variance commentary; internal control checklist.</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RA-PMG-305</w:t>
            </w:r>
          </w:p>
          <w:p>
            <w:pPr>
              <w:spacing w:after="0" w:line="240" w:lineRule="auto"/>
              <w:jc w:val="left"/>
            </w:pPr>
            <w:r>
              <w:rPr>
                <w:rFonts w:ascii="Calibri" w:hAnsi="Calibri" w:eastAsia="Calibri"/>
                <w:b/>
                <w:i w:val="0"/>
                <w:caps w:val="0"/>
                <w:color w:val="20242B"/>
                <w:sz w:val="16"/>
              </w:rPr>
              <w:t>Project &amp; Programme Management for Institutions</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Convert institutional priorities into scoped, resourced, risk-managed and reportable projects.</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Project charter; work-breakdown and schedule; risk and benefits register.</w:t>
            </w:r>
          </w:p>
        </w:tc>
      </w:tr>
    </w:tbl>
    <w:p>
      <w:pPr>
        <w:spacing w:before="60" w:after="60" w:line="276" w:lineRule="auto"/>
      </w:pPr>
    </w:p>
    <w:p>
      <w:pPr>
        <w:pStyle w:val="Heading2"/>
        <w:keepNext/>
      </w:pPr>
      <w:r>
        <w:t>4.4  S4 — School of Research, Evaluation &amp; Knowledge</w:t>
      </w:r>
    </w:p>
    <w:p>
      <w:pPr>
        <w:spacing w:before="40" w:after="120" w:line="283" w:lineRule="auto"/>
        <w:jc w:val="both"/>
      </w:pPr>
      <w:r>
        <w:rPr>
          <w:rFonts w:ascii="Cambria" w:hAnsi="Cambria" w:eastAsia="Cambria"/>
          <w:b w:val="0"/>
          <w:i w:val="0"/>
          <w:caps w:val="0"/>
          <w:color w:val="20242B"/>
          <w:sz w:val="20"/>
        </w:rPr>
        <w:t>Institutions that cannot generate and interpret evidence cannot learn. This School builds the research, evaluation, analytical and publishing capability that allows Somali institutions to produce their own knowledge rather than consume knowledge produced elsewhere. It is the academic bridge to RIYAADA Journals and RUGSAN Publisher.</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376"/>
        <w:gridCol w:w="4104"/>
        <w:gridCol w:w="2664"/>
      </w:tblGrid>
      <w:tr>
        <w:trPr>
          <w:tblHeader w:val="true"/>
        </w:trPr>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COURSE</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AIM</w:t>
            </w:r>
          </w:p>
        </w:tc>
        <w:tc>
          <w:tcPr>
            <w:tcW w:type="dxa" w:w="3250"/>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INDICATIVE APPLIED OUTPUT</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RA-RES-401</w:t>
            </w:r>
          </w:p>
          <w:p>
            <w:pPr>
              <w:spacing w:after="0" w:line="240" w:lineRule="auto"/>
              <w:jc w:val="left"/>
            </w:pPr>
            <w:r>
              <w:rPr>
                <w:rFonts w:ascii="Calibri" w:hAnsi="Calibri" w:eastAsia="Calibri"/>
                <w:b/>
                <w:i w:val="0"/>
                <w:caps w:val="0"/>
                <w:color w:val="20242B"/>
                <w:sz w:val="16"/>
              </w:rPr>
              <w:t>Applied Research Design &amp; Methods</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Design ethical, feasible and methodologically defensible studies that answer institutional questions.</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Research protocol; instrument set; analysis plan.</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RA-MEL-402</w:t>
            </w:r>
          </w:p>
          <w:p>
            <w:pPr>
              <w:spacing w:after="0" w:line="240" w:lineRule="auto"/>
              <w:jc w:val="left"/>
            </w:pPr>
            <w:r>
              <w:rPr>
                <w:rFonts w:ascii="Calibri" w:hAnsi="Calibri" w:eastAsia="Calibri"/>
                <w:b/>
                <w:i w:val="0"/>
                <w:caps w:val="0"/>
                <w:color w:val="20242B"/>
                <w:sz w:val="16"/>
              </w:rPr>
              <w:t>Monitoring, Evaluation, Accountability &amp; Learning</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Build results frameworks, indicators and evaluation designs that produce usable learning, not only reporting compliance.</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Theory of change; indicator reference sheet; MEAL plan.</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RA-SWP-403</w:t>
            </w:r>
          </w:p>
          <w:p>
            <w:pPr>
              <w:spacing w:after="0" w:line="240" w:lineRule="auto"/>
              <w:jc w:val="left"/>
            </w:pPr>
            <w:r>
              <w:rPr>
                <w:rFonts w:ascii="Calibri" w:hAnsi="Calibri" w:eastAsia="Calibri"/>
                <w:b/>
                <w:i w:val="0"/>
                <w:caps w:val="0"/>
                <w:color w:val="20242B"/>
                <w:sz w:val="16"/>
              </w:rPr>
              <w:t>Scientific Writing &amp; Academic Publishing</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Take a manuscript from question to submission, including reporting standards, authorship ethics and journal selection.</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Structured abstract; full manuscript draft; submission and response strategy.</w:t>
            </w:r>
          </w:p>
        </w:tc>
      </w:tr>
      <w:tr>
        <w:trPr>
          <w:cantSplit/>
        </w:trPr>
        <w:tc>
          <w:tcPr>
            <w:tcW w:type="dxa" w:w="2376"/>
            <w:shd w:fill="F3F7FB"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RA-DAT-404</w:t>
            </w:r>
          </w:p>
          <w:p>
            <w:pPr>
              <w:spacing w:after="0" w:line="240" w:lineRule="auto"/>
              <w:jc w:val="left"/>
            </w:pPr>
            <w:r>
              <w:rPr>
                <w:rFonts w:ascii="Calibri" w:hAnsi="Calibri" w:eastAsia="Calibri"/>
                <w:b/>
                <w:i w:val="0"/>
                <w:caps w:val="0"/>
                <w:color w:val="20242B"/>
                <w:sz w:val="16"/>
              </w:rPr>
              <w:t>Data Literacy &amp; Evidence for Decision-Makers</w:t>
            </w:r>
          </w:p>
        </w:tc>
        <w:tc>
          <w:tcPr>
            <w:tcW w:type="dxa" w:w="410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Enable non-specialist executives to interrogate data, resist misleading presentation and commission good analysis.</w:t>
            </w:r>
          </w:p>
        </w:tc>
        <w:tc>
          <w:tcPr>
            <w:tcW w:type="dxa" w:w="266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Indicator critique; one-page decision brief; dashboard specification.</w:t>
            </w:r>
          </w:p>
        </w:tc>
      </w:tr>
      <w:tr>
        <w:trPr>
          <w:cantSplit/>
        </w:trPr>
        <w:tc>
          <w:tcPr>
            <w:tcW w:type="dxa" w:w="2376"/>
            <w:shd w:fill="FFFFFF" w:val="clear"/>
            <w:tcMar>
              <w:top w:w="80" w:type="dxa"/>
              <w:start w:w="90" w:type="dxa"/>
              <w:bottom w:w="80" w:type="dxa"/>
              <w:end w:w="90" w:type="dxa"/>
            </w:tcMar>
            <w:vAlign w:val="center"/>
          </w:tcPr>
          <w:p>
            <w:pPr>
              <w:spacing w:after="40" w:line="240" w:lineRule="auto"/>
              <w:jc w:val="left"/>
            </w:pPr>
            <w:r/>
            <w:r>
              <w:rPr>
                <w:rFonts w:ascii="Calibri" w:hAnsi="Calibri" w:eastAsia="Calibri"/>
                <w:b/>
                <w:i w:val="0"/>
                <w:caps w:val="0"/>
                <w:color w:val="20242B"/>
                <w:sz w:val="16"/>
              </w:rPr>
              <w:t>RA-GWR-405</w:t>
            </w:r>
          </w:p>
          <w:p>
            <w:pPr>
              <w:spacing w:after="0" w:line="240" w:lineRule="auto"/>
              <w:jc w:val="left"/>
            </w:pPr>
            <w:r>
              <w:rPr>
                <w:rFonts w:ascii="Calibri" w:hAnsi="Calibri" w:eastAsia="Calibri"/>
                <w:b/>
                <w:i w:val="0"/>
                <w:caps w:val="0"/>
                <w:color w:val="20242B"/>
                <w:sz w:val="16"/>
              </w:rPr>
              <w:t>Grant Writing &amp; Resource Mobilisation</w:t>
            </w:r>
          </w:p>
        </w:tc>
        <w:tc>
          <w:tcPr>
            <w:tcW w:type="dxa" w:w="410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Convert institutional priorities into fundable, compliant and competitive proposals.</w:t>
            </w:r>
          </w:p>
        </w:tc>
        <w:tc>
          <w:tcPr>
            <w:tcW w:type="dxa" w:w="266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Concept note; logframe and budget; donor-ready proposal package.</w:t>
            </w:r>
          </w:p>
        </w:tc>
      </w:tr>
    </w:tbl>
    <w:p>
      <w:pPr>
        <w:spacing w:before="60" w:after="60" w:line="276" w:lineRule="auto"/>
      </w:pPr>
    </w:p>
    <w:p>
      <w:pPr>
        <w:pStyle w:val="Heading1"/>
        <w:keepNext/>
      </w:pPr>
      <w:r>
        <w:t>5. Pathways, Clusters and Progression</w:t>
      </w:r>
    </w:p>
    <w:p>
      <w:pPr>
        <w:spacing w:before="40" w:after="120" w:line="283" w:lineRule="auto"/>
        <w:jc w:val="both"/>
      </w:pPr>
      <w:r>
        <w:rPr>
          <w:rFonts w:ascii="Cambria" w:hAnsi="Cambria" w:eastAsia="Cambria"/>
          <w:b w:val="0"/>
          <w:i w:val="0"/>
          <w:caps w:val="0"/>
          <w:color w:val="20242B"/>
          <w:sz w:val="20"/>
        </w:rPr>
        <w:t>Courses are designed to stand alone and to combine. The following clusters lead to an Advanced Certificate; the Executive Diploma requires a governance core, an execution core and a strategy capstone drawn from two Schools, together with an institutional capstone project.</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664"/>
        <w:gridCol w:w="720"/>
        <w:gridCol w:w="4680"/>
        <w:gridCol w:w="1080"/>
      </w:tblGrid>
      <w:tr>
        <w:trPr>
          <w:tblHeader w:val="true"/>
        </w:trPr>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ADVANCED CERTIFICATE</w:t>
            </w:r>
          </w:p>
        </w:tc>
        <w:tc>
          <w:tcPr>
            <w:tcW w:type="dxa" w:w="2437"/>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SCHOOL</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CONSTITUENT COURSES</w:t>
            </w:r>
          </w:p>
        </w:tc>
        <w:tc>
          <w:tcPr>
            <w:tcW w:type="dxa" w:w="2437"/>
            <w:shd w:fill="13315C" w:val="clear"/>
            <w:tcMar>
              <w:top w:w="90" w:type="dxa"/>
              <w:start w:w="90" w:type="dxa"/>
              <w:bottom w:w="90" w:type="dxa"/>
              <w:end w:w="90" w:type="dxa"/>
            </w:tcMar>
            <w:vAlign w:val="center"/>
          </w:tcPr>
          <w:p>
            <w:pPr>
              <w:spacing w:after="0"/>
              <w:jc w:val="center"/>
            </w:pPr>
            <w:r>
              <w:rPr>
                <w:rFonts w:ascii="Calibri" w:hAnsi="Calibri" w:eastAsia="Calibri"/>
                <w:b/>
                <w:i w:val="0"/>
                <w:caps w:val="0"/>
                <w:color w:val="FFFFFF"/>
                <w:sz w:val="16"/>
              </w:rPr>
              <w:t>CREDIT</w:t>
            </w:r>
          </w:p>
        </w:tc>
      </w:tr>
      <w:tr>
        <w:trPr>
          <w:cantSplit/>
        </w:trPr>
        <w:tc>
          <w:tcPr>
            <w:tcW w:type="dxa" w:w="266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Governance &amp; Public Leadership</w:t>
            </w:r>
          </w:p>
        </w:tc>
        <w:tc>
          <w:tcPr>
            <w:tcW w:type="dxa" w:w="72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S1</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RA-PLG-101 + RA-BGD-103 + RA-EIA-104 + integrative assignment</w:t>
            </w:r>
          </w:p>
        </w:tc>
        <w:tc>
          <w:tcPr>
            <w:tcW w:type="dxa" w:w="108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28 RCP</w:t>
            </w:r>
          </w:p>
        </w:tc>
      </w:tr>
      <w:tr>
        <w:trPr>
          <w:cantSplit/>
        </w:trPr>
        <w:tc>
          <w:tcPr>
            <w:tcW w:type="dxa" w:w="266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Corporate &amp; Board Governance</w:t>
            </w:r>
          </w:p>
        </w:tc>
        <w:tc>
          <w:tcPr>
            <w:tcW w:type="dxa" w:w="72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S1</w:t>
            </w:r>
          </w:p>
        </w:tc>
        <w:tc>
          <w:tcPr>
            <w:tcW w:type="dxa" w:w="46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RA-CGV-102 + RA-BGD-103 + RA-EIA-104 + integrative assignment</w:t>
            </w:r>
          </w:p>
        </w:tc>
        <w:tc>
          <w:tcPr>
            <w:tcW w:type="dxa" w:w="108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28 RCP</w:t>
            </w:r>
          </w:p>
        </w:tc>
      </w:tr>
      <w:tr>
        <w:trPr>
          <w:cantSplit/>
        </w:trPr>
        <w:tc>
          <w:tcPr>
            <w:tcW w:type="dxa" w:w="266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Public Policy &amp; Administration</w:t>
            </w:r>
          </w:p>
        </w:tc>
        <w:tc>
          <w:tcPr>
            <w:tcW w:type="dxa" w:w="72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S1</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RA-PPA-105 + RA-GAR-106 + RA-ITC-301 + integrative assignment</w:t>
            </w:r>
          </w:p>
        </w:tc>
        <w:tc>
          <w:tcPr>
            <w:tcW w:type="dxa" w:w="108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28 RCP</w:t>
            </w:r>
          </w:p>
        </w:tc>
      </w:tr>
      <w:tr>
        <w:trPr>
          <w:cantSplit/>
        </w:trPr>
        <w:tc>
          <w:tcPr>
            <w:tcW w:type="dxa" w:w="266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Health Systems Leadership</w:t>
            </w:r>
          </w:p>
        </w:tc>
        <w:tc>
          <w:tcPr>
            <w:tcW w:type="dxa" w:w="72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S2</w:t>
            </w:r>
          </w:p>
        </w:tc>
        <w:tc>
          <w:tcPr>
            <w:tcW w:type="dxa" w:w="46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RA-HLMG-201 + RA-QPS-204 + RA-HRH-205 + integrative assignment</w:t>
            </w:r>
          </w:p>
        </w:tc>
        <w:tc>
          <w:tcPr>
            <w:tcW w:type="dxa" w:w="108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26 RCP</w:t>
            </w:r>
          </w:p>
        </w:tc>
      </w:tr>
      <w:tr>
        <w:trPr>
          <w:cantSplit/>
        </w:trPr>
        <w:tc>
          <w:tcPr>
            <w:tcW w:type="dxa" w:w="266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Health Financing &amp; UHC</w:t>
            </w:r>
          </w:p>
        </w:tc>
        <w:tc>
          <w:tcPr>
            <w:tcW w:type="dxa" w:w="72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S2</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RA-HFN-202 + RA-UHC-203 + RA-DAT-404 + integrative assignment</w:t>
            </w:r>
          </w:p>
        </w:tc>
        <w:tc>
          <w:tcPr>
            <w:tcW w:type="dxa" w:w="108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25 RCP</w:t>
            </w:r>
          </w:p>
        </w:tc>
      </w:tr>
      <w:tr>
        <w:trPr>
          <w:cantSplit/>
        </w:trPr>
        <w:tc>
          <w:tcPr>
            <w:tcW w:type="dxa" w:w="2664"/>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Strategy &amp; Institutional Transformation</w:t>
            </w:r>
          </w:p>
        </w:tc>
        <w:tc>
          <w:tcPr>
            <w:tcW w:type="dxa" w:w="72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S3</w:t>
            </w:r>
          </w:p>
        </w:tc>
        <w:tc>
          <w:tcPr>
            <w:tcW w:type="dxa" w:w="46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RA-SMO-303 + RA-ITC-301 + RA-EXL-302 + integrative assignment</w:t>
            </w:r>
          </w:p>
        </w:tc>
        <w:tc>
          <w:tcPr>
            <w:tcW w:type="dxa" w:w="1080"/>
            <w:shd w:fill="F3F7FB"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28 RCP</w:t>
            </w:r>
          </w:p>
        </w:tc>
      </w:tr>
      <w:tr>
        <w:trPr>
          <w:cantSplit/>
        </w:trPr>
        <w:tc>
          <w:tcPr>
            <w:tcW w:type="dxa" w:w="2664"/>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6"/>
              </w:rPr>
              <w:t>Advanced Certificate in Applied Research &amp; Evaluation</w:t>
            </w:r>
          </w:p>
        </w:tc>
        <w:tc>
          <w:tcPr>
            <w:tcW w:type="dxa" w:w="72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S4</w:t>
            </w:r>
          </w:p>
        </w:tc>
        <w:tc>
          <w:tcPr>
            <w:tcW w:type="dxa" w:w="46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RA-RES-401 + RA-MEL-402 + RA-SWP-403 + integrative assignment</w:t>
            </w:r>
          </w:p>
        </w:tc>
        <w:tc>
          <w:tcPr>
            <w:tcW w:type="dxa" w:w="1080"/>
            <w:shd w:fill="FFFFFF" w:val="clear"/>
            <w:tcMar>
              <w:top w:w="80" w:type="dxa"/>
              <w:start w:w="90" w:type="dxa"/>
              <w:bottom w:w="80" w:type="dxa"/>
              <w:end w:w="90" w:type="dxa"/>
            </w:tcMar>
            <w:vAlign w:val="center"/>
          </w:tcPr>
          <w:p>
            <w:pPr>
              <w:spacing w:after="0" w:line="240" w:lineRule="auto"/>
              <w:jc w:val="center"/>
            </w:pPr>
            <w:r/>
            <w:r>
              <w:rPr>
                <w:rFonts w:ascii="Cambria" w:hAnsi="Cambria" w:eastAsia="Cambria"/>
                <w:b w:val="0"/>
                <w:i w:val="0"/>
                <w:caps w:val="0"/>
                <w:color w:val="20242B"/>
                <w:sz w:val="16"/>
              </w:rPr>
              <w:t>26 RCP</w:t>
            </w:r>
          </w:p>
        </w:tc>
      </w:tr>
    </w:tbl>
    <w:p>
      <w:pPr>
        <w:spacing w:before="60" w:after="60" w:line="276" w:lineRule="auto"/>
      </w:pPr>
    </w:p>
    <w:p>
      <w:pPr>
        <w:pStyle w:val="Heading2"/>
        <w:keepNext/>
      </w:pPr>
      <w:r>
        <w:t>5.1 The Executive Diploma pathway</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088"/>
        <w:gridCol w:w="7056"/>
      </w:tblGrid>
      <w:tr>
        <w:trPr>
          <w:tblHeader w:val="true"/>
        </w:trPr>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STAGE</w:t>
            </w:r>
          </w:p>
        </w:tc>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REQUIREMENT</w:t>
            </w:r>
          </w:p>
        </w:tc>
      </w:tr>
      <w:tr>
        <w:trPr>
          <w:cantSplit/>
        </w:trPr>
        <w:tc>
          <w:tcPr>
            <w:tcW w:type="dxa" w:w="2088"/>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Foundation</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RA-EXL-302 Executive Leadership and RA-EIA-104 Ethics, Integrity &amp; Accountability.</w:t>
            </w:r>
          </w:p>
        </w:tc>
      </w:tr>
      <w:tr>
        <w:trPr>
          <w:cantSplit/>
        </w:trPr>
        <w:tc>
          <w:tcPr>
            <w:tcW w:type="dxa" w:w="2088"/>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Governance core</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RA-PLG-101 Public Leadership &amp; Governance, plus one of RA-CGV-102 or RA-BGD-103.</w:t>
            </w:r>
          </w:p>
        </w:tc>
      </w:tr>
      <w:tr>
        <w:trPr>
          <w:cantSplit/>
        </w:trPr>
        <w:tc>
          <w:tcPr>
            <w:tcW w:type="dxa" w:w="2088"/>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Execution core</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RA-ITC-301 Institutional Transformation &amp; Change Management, plus one of RA-PPA-105, RA-GAR-106 or a School S2 course.</w:t>
            </w:r>
          </w:p>
        </w:tc>
      </w:tr>
      <w:tr>
        <w:trPr>
          <w:cantSplit/>
        </w:trPr>
        <w:tc>
          <w:tcPr>
            <w:tcW w:type="dxa" w:w="2088"/>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Strategy capstone</w:t>
            </w:r>
          </w:p>
        </w:tc>
        <w:tc>
          <w:tcPr>
            <w:tcW w:type="dxa" w:w="70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RA-SMO-303 Strategic Management &amp; Organizational Transformation.</w:t>
            </w:r>
          </w:p>
        </w:tc>
      </w:tr>
      <w:tr>
        <w:trPr>
          <w:cantSplit/>
        </w:trPr>
        <w:tc>
          <w:tcPr>
            <w:tcW w:type="dxa" w:w="2088"/>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Final requirement</w:t>
            </w:r>
          </w:p>
        </w:tc>
        <w:tc>
          <w:tcPr>
            <w:tcW w:type="dxa" w:w="70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Institutional capstone demonstrating integrated leadership, governance, strategy, implementation and measurable results, defended before a panel and reviewed at 90 days.</w:t>
            </w:r>
          </w:p>
        </w:tc>
      </w:tr>
    </w:tbl>
    <w:p>
      <w:pPr>
        <w:spacing w:before="60" w:after="60" w:line="276" w:lineRule="auto"/>
      </w:pPr>
    </w:p>
    <w:tbl>
      <w:tblPr>
        <w:tblW w:type="auto" w:w="0"/>
        <w:jc w:val="center"/>
        <w:tblLayout w:type="fixed"/>
        <w:tblLook w:firstColumn="1" w:firstRow="1" w:lastColumn="0" w:lastRow="0" w:noHBand="0" w:noVBand="1" w:val="04A0"/>
        <w:tblBorders>
          <w:top w:val="single" w:sz="8" w:space="0" w:color="C08A2E"/>
          <w:left w:val="single" w:sz="8" w:space="0" w:color="C08A2E"/>
          <w:bottom w:val="single" w:sz="8" w:space="0" w:color="C08A2E"/>
          <w:right w:val="single" w:sz="8" w:space="0" w:color="C08A2E"/>
          <w:insideH w:val="single" w:sz="4" w:space="0" w:color="C08A2E"/>
          <w:insideV w:val="single" w:sz="4" w:space="0" w:color="C08A2E"/>
        </w:tblBorders>
      </w:tblPr>
      <w:tblGrid>
        <w:gridCol w:w="9144"/>
      </w:tblGrid>
      <w:tr>
        <w:trPr>
          <w:cantSplit/>
        </w:trPr>
        <w:tc>
          <w:tcPr>
            <w:tcW w:type="dxa" w:w="9749"/>
            <w:shd w:fill="FBF6EA" w:val="clear"/>
            <w:tcMar>
              <w:top w:w="120" w:type="dxa"/>
              <w:start w:w="180" w:type="dxa"/>
              <w:bottom w:w="120" w:type="dxa"/>
              <w:end w:w="150" w:type="dxa"/>
            </w:tcMar>
          </w:tcPr>
          <w:p>
            <w:pPr>
              <w:spacing w:after="80"/>
            </w:pPr>
            <w:r>
              <w:rPr>
                <w:rFonts w:ascii="Calibri" w:hAnsi="Calibri" w:eastAsia="Calibri"/>
                <w:b/>
                <w:i w:val="0"/>
                <w:caps w:val="0"/>
                <w:color w:val="A5761F"/>
                <w:sz w:val="19"/>
              </w:rPr>
              <w:t>RECOGNITION OF PRIOR LEARNING</w:t>
            </w:r>
          </w:p>
          <w:p>
            <w:pPr>
              <w:spacing w:after="60" w:line="264" w:lineRule="auto"/>
            </w:pPr>
            <w:r>
              <w:rPr>
                <w:rFonts w:ascii="Cambria" w:hAnsi="Cambria" w:eastAsia="Cambria"/>
                <w:b w:val="0"/>
                <w:i w:val="0"/>
                <w:caps w:val="0"/>
                <w:color w:val="20242B"/>
                <w:sz w:val="19"/>
              </w:rPr>
              <w:t>Up to one third of the credit required for an Advanced Certificate or Executive Diploma may be awarded through Recognition of Prior Learning, on the evidence of assessed outputs, documented senior practice or accredited study elsewhere. Applications are assessed by the Academic Board against the same competency standards that apply to taught credit. The procedure is set out in RIYAADA-ADM-2026-006.</w:t>
            </w:r>
          </w:p>
        </w:tc>
      </w:tr>
    </w:tbl>
    <w:p>
      <w:pPr>
        <w:spacing w:before="60" w:after="60" w:line="276" w:lineRule="auto"/>
      </w:pPr>
    </w:p>
    <w:p>
      <w:pPr>
        <w:pStyle w:val="Heading1"/>
        <w:keepNext/>
      </w:pPr>
      <w:r>
        <w:t>6. Delivery, Language and Learning Model</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016"/>
        <w:gridCol w:w="7128"/>
      </w:tblGrid>
      <w:tr>
        <w:trPr>
          <w:tblHeader w:val="true"/>
        </w:trPr>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DIMENSION</w:t>
            </w:r>
          </w:p>
        </w:tc>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STANDARD PROVISION</w:t>
            </w:r>
          </w:p>
        </w:tc>
      </w:tr>
      <w:tr>
        <w:trPr>
          <w:cantSplit/>
        </w:trPr>
        <w:tc>
          <w:tcPr>
            <w:tcW w:type="dxa" w:w="2016"/>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Default format</w:t>
            </w:r>
          </w:p>
        </w:tc>
        <w:tc>
          <w:tcPr>
            <w:tcW w:type="dxa" w:w="71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Five-day intensive of approximately 35 contact hours, delivered as a continuous block or in a modular 2+2+1 pattern.</w:t>
            </w:r>
          </w:p>
        </w:tc>
      </w:tr>
      <w:tr>
        <w:trPr>
          <w:cantSplit/>
        </w:trPr>
        <w:tc>
          <w:tcPr>
            <w:tcW w:type="dxa" w:w="2016"/>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Alternative formats</w:t>
            </w:r>
          </w:p>
        </w:tc>
        <w:tc>
          <w:tcPr>
            <w:tcW w:type="dxa" w:w="71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Six-week modular evening delivery; block release for serving executives; in-house bespoke cohorts; blended and fully online delivery under RIYAADA-OBL-2026-008.</w:t>
            </w:r>
          </w:p>
        </w:tc>
      </w:tr>
      <w:tr>
        <w:trPr>
          <w:cantSplit/>
        </w:trPr>
        <w:tc>
          <w:tcPr>
            <w:tcW w:type="dxa" w:w="2016"/>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Cohort size</w:t>
            </w:r>
          </w:p>
        </w:tc>
        <w:tc>
          <w:tcPr>
            <w:tcW w:type="dxa" w:w="71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Twenty to thirty participants for intensive executive learning; twelve to twenty for board-level cohorts; facilitator-to-participant ratio no weaker than 1:15 during practical work.</w:t>
            </w:r>
          </w:p>
        </w:tc>
      </w:tr>
      <w:tr>
        <w:trPr>
          <w:cantSplit/>
        </w:trPr>
        <w:tc>
          <w:tcPr>
            <w:tcW w:type="dxa" w:w="2016"/>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Faculty</w:t>
            </w:r>
          </w:p>
        </w:tc>
        <w:tc>
          <w:tcPr>
            <w:tcW w:type="dxa" w:w="71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 lead facilitator and at least one co-facilitator per cohort, deployed by course level, sector, cohort profile and language need.</w:t>
            </w:r>
          </w:p>
        </w:tc>
      </w:tr>
      <w:tr>
        <w:trPr>
          <w:cantSplit/>
        </w:trPr>
        <w:tc>
          <w:tcPr>
            <w:tcW w:type="dxa" w:w="2016"/>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Language</w:t>
            </w:r>
          </w:p>
        </w:tc>
        <w:tc>
          <w:tcPr>
            <w:tcW w:type="dxa" w:w="71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English, Somali or bilingual delivery; Arabic where required. Terminology control and translation review apply to all bilingual delivery.</w:t>
            </w:r>
          </w:p>
        </w:tc>
      </w:tr>
      <w:tr>
        <w:trPr>
          <w:cantSplit/>
        </w:trPr>
        <w:tc>
          <w:tcPr>
            <w:tcW w:type="dxa" w:w="2016"/>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Learning mix</w:t>
            </w:r>
          </w:p>
        </w:tc>
        <w:tc>
          <w:tcPr>
            <w:tcW w:type="dxa" w:w="71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Approximately 70% experiential and workplace application, 20% coaching, mentoring and peer exchange, 10% formal instruction, following Kolb’s cycle.</w:t>
            </w:r>
          </w:p>
        </w:tc>
      </w:tr>
      <w:tr>
        <w:trPr>
          <w:cantSplit/>
        </w:trPr>
        <w:tc>
          <w:tcPr>
            <w:tcW w:type="dxa" w:w="2016"/>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Materials</w:t>
            </w:r>
          </w:p>
        </w:tc>
        <w:tc>
          <w:tcPr>
            <w:tcW w:type="dxa" w:w="71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Participant workbook, facilitator-aligned slide deck, case pack, forms and templates pack, and a personal action-plan booklet.</w:t>
            </w:r>
          </w:p>
        </w:tc>
      </w:tr>
      <w:tr>
        <w:trPr>
          <w:cantSplit/>
        </w:trPr>
        <w:tc>
          <w:tcPr>
            <w:tcW w:type="dxa" w:w="2016"/>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Venue</w:t>
            </w:r>
          </w:p>
        </w:tc>
        <w:tc>
          <w:tcPr>
            <w:tcW w:type="dxa" w:w="712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RIYAADA campus, client premises or an approved conference and training facility.</w:t>
            </w:r>
          </w:p>
        </w:tc>
      </w:tr>
      <w:tr>
        <w:trPr>
          <w:cantSplit/>
        </w:trPr>
        <w:tc>
          <w:tcPr>
            <w:tcW w:type="dxa" w:w="2016"/>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Post-course support</w:t>
            </w:r>
          </w:p>
        </w:tc>
        <w:tc>
          <w:tcPr>
            <w:tcW w:type="dxa" w:w="712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Structured 90-day follow-up: systems activation, a coach visit or evidence-based review call, and a one-page capstone progress report with indicator data.</w:t>
            </w:r>
          </w:p>
        </w:tc>
      </w:tr>
    </w:tbl>
    <w:p>
      <w:pPr>
        <w:spacing w:before="60" w:after="60" w:line="276" w:lineRule="auto"/>
      </w:pPr>
    </w:p>
    <w:p>
      <w:pPr>
        <w:pStyle w:val="Heading1"/>
        <w:keepNext/>
      </w:pPr>
      <w:r>
        <w:t>7. Assessment, Certification and Quality</w:t>
      </w:r>
    </w:p>
    <w:p>
      <w:pPr>
        <w:spacing w:before="40" w:after="120" w:line="283" w:lineRule="auto"/>
        <w:jc w:val="both"/>
      </w:pPr>
      <w:r>
        <w:rPr>
          <w:rFonts w:ascii="Cambria" w:hAnsi="Cambria" w:eastAsia="Cambria"/>
          <w:b w:val="0"/>
          <w:i w:val="0"/>
          <w:caps w:val="0"/>
          <w:color w:val="20242B"/>
          <w:sz w:val="20"/>
        </w:rPr>
        <w:t>Assessment is competency-based, criterion-referenced and application-focused. Attendance alone is never sufficient for an award. Each course carries a pre-course diagnostic, continuous assessed session outputs, an applied project or portfolio, and a post-course measure; the expected learning gain is at least twenty percentage points between pre- and post-course knowledge tests.</w:t>
      </w:r>
    </w:p>
    <w:p>
      <w:pPr>
        <w:spacing w:before="40" w:after="120" w:line="283" w:lineRule="auto"/>
        <w:jc w:val="both"/>
      </w:pPr>
      <w:r>
        <w:rPr>
          <w:rFonts w:ascii="Cambria" w:hAnsi="Cambria" w:eastAsia="Cambria"/>
          <w:b w:val="0"/>
          <w:i w:val="0"/>
          <w:caps w:val="0"/>
          <w:color w:val="20242B"/>
          <w:sz w:val="20"/>
        </w:rPr>
        <w:t>Every certificate carries a unique certificate identifier and a verification record maintained in the RIYAADA Certificate Register, allowing any employer, regulator or partner to confirm an award independently. Full detail is set out in RIYAADA-ACV-2026-004 and RIYAADA-CER-2026-009.</w:t>
      </w:r>
    </w:p>
    <w:p>
      <w:pPr>
        <w:spacing w:before="40" w:after="120" w:line="283" w:lineRule="auto"/>
        <w:jc w:val="both"/>
      </w:pPr>
      <w:r>
        <w:rPr>
          <w:rFonts w:ascii="Cambria" w:hAnsi="Cambria" w:eastAsia="Cambria"/>
          <w:b w:val="0"/>
          <w:i w:val="0"/>
          <w:caps w:val="0"/>
          <w:color w:val="20242B"/>
          <w:sz w:val="20"/>
        </w:rPr>
        <w:t>Programme quality is evaluated at four levels — reaction, learning, behaviour and results — with three-to-six-month application reviews and an annual curriculum refresh against changing national priorities and international standards. The full system is described in RIYAADA-QAP-2026-003.</w:t>
      </w:r>
    </w:p>
    <w:p>
      <w:pPr>
        <w:pStyle w:val="Heading1"/>
        <w:keepNext/>
      </w:pPr>
      <w:r>
        <w:t>8. Fees, Sponsorship and Admission</w:t>
      </w:r>
    </w:p>
    <w:p>
      <w:pPr>
        <w:spacing w:before="40" w:after="120" w:line="283" w:lineRule="auto"/>
        <w:jc w:val="both"/>
      </w:pPr>
      <w:r>
        <w:rPr>
          <w:rFonts w:ascii="Cambria" w:hAnsi="Cambria" w:eastAsia="Cambria"/>
          <w:b w:val="0"/>
          <w:i w:val="0"/>
          <w:caps w:val="0"/>
          <w:color w:val="20242B"/>
          <w:sz w:val="20"/>
        </w:rPr>
        <w:t>Fees are published in the annual Fee Schedule issued alongside this catalogue and are quoted per learner for open-enrolment cohorts and per cohort for commissioned delivery. The Fee Schedule is a separate controlled document so that price revisions do not require reissue of the catalogue.</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2520"/>
        <w:gridCol w:w="6624"/>
      </w:tblGrid>
      <w:tr>
        <w:trPr>
          <w:tblHeader w:val="true"/>
        </w:trPr>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ITEM</w:t>
            </w:r>
          </w:p>
        </w:tc>
        <w:tc>
          <w:tcPr>
            <w:tcW w:type="dxa" w:w="4874"/>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BASIS</w:t>
            </w:r>
          </w:p>
        </w:tc>
      </w:tr>
      <w:tr>
        <w:trPr>
          <w:cantSplit/>
        </w:trPr>
        <w:tc>
          <w:tcPr>
            <w:tcW w:type="dxa" w:w="2520"/>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Open-enrolment course fee</w:t>
            </w:r>
          </w:p>
        </w:tc>
        <w:tc>
          <w:tcPr>
            <w:tcW w:type="dxa" w:w="662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Per learner, inclusive of materials, assessment, certification and 90-day follow-up. [Rate to be confirmed in the 2026 Fee Schedule.]</w:t>
            </w:r>
          </w:p>
        </w:tc>
      </w:tr>
      <w:tr>
        <w:trPr>
          <w:cantSplit/>
        </w:trPr>
        <w:tc>
          <w:tcPr>
            <w:tcW w:type="dxa" w:w="2520"/>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Commissioned in-house cohort</w:t>
            </w:r>
          </w:p>
        </w:tc>
        <w:tc>
          <w:tcPr>
            <w:tcW w:type="dxa" w:w="662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Per cohort, quoted on scope, duration, customisation, venue and coaching requirement. [Quotation on request.]</w:t>
            </w:r>
          </w:p>
        </w:tc>
      </w:tr>
      <w:tr>
        <w:trPr>
          <w:cantSplit/>
        </w:trPr>
        <w:tc>
          <w:tcPr>
            <w:tcW w:type="dxa" w:w="2520"/>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Advanced Certificate / Executive Diploma</w:t>
            </w:r>
          </w:p>
        </w:tc>
        <w:tc>
          <w:tcPr>
            <w:tcW w:type="dxa" w:w="662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Sum of constituent course fees plus an integrative assessment and moderation fee.</w:t>
            </w:r>
          </w:p>
        </w:tc>
      </w:tr>
      <w:tr>
        <w:trPr>
          <w:cantSplit/>
        </w:trPr>
        <w:tc>
          <w:tcPr>
            <w:tcW w:type="dxa" w:w="2520"/>
            <w:shd w:fill="F3F7FB"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Institutional sponsorship</w:t>
            </w:r>
          </w:p>
        </w:tc>
        <w:tc>
          <w:tcPr>
            <w:tcW w:type="dxa" w:w="6624"/>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Nomination by employer with a signed sponsorship undertaking; invoicing to the institution.</w:t>
            </w:r>
          </w:p>
        </w:tc>
      </w:tr>
      <w:tr>
        <w:trPr>
          <w:cantSplit/>
        </w:trPr>
        <w:tc>
          <w:tcPr>
            <w:tcW w:type="dxa" w:w="2520"/>
            <w:shd w:fill="FFFFFF" w:val="clear"/>
            <w:tcMar>
              <w:top w:w="80" w:type="dxa"/>
              <w:start w:w="90" w:type="dxa"/>
              <w:bottom w:w="80" w:type="dxa"/>
              <w:end w:w="90" w:type="dxa"/>
            </w:tcMar>
            <w:vAlign w:val="center"/>
          </w:tcPr>
          <w:p>
            <w:pPr>
              <w:spacing w:after="0" w:line="240" w:lineRule="auto"/>
              <w:jc w:val="left"/>
            </w:pPr>
            <w:r/>
            <w:r>
              <w:rPr>
                <w:rFonts w:ascii="Calibri" w:hAnsi="Calibri" w:eastAsia="Calibri"/>
                <w:b/>
                <w:i w:val="0"/>
                <w:caps w:val="0"/>
                <w:color w:val="20242B"/>
                <w:sz w:val="17"/>
              </w:rPr>
              <w:t>Concessions</w:t>
            </w:r>
          </w:p>
        </w:tc>
        <w:tc>
          <w:tcPr>
            <w:tcW w:type="dxa" w:w="6624"/>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7"/>
              </w:rPr>
              <w:t>Places reserved each cycle for public-sector and civil-society nominees under the Institute’s access commitment. [Allocation to be confirmed annually.]</w:t>
            </w:r>
          </w:p>
        </w:tc>
      </w:tr>
    </w:tbl>
    <w:p>
      <w:pPr>
        <w:spacing w:before="60" w:after="60" w:line="276" w:lineRule="auto"/>
      </w:pPr>
    </w:p>
    <w:p>
      <w:pPr>
        <w:spacing w:before="40" w:after="120" w:line="283" w:lineRule="auto"/>
        <w:jc w:val="both"/>
      </w:pPr>
      <w:r>
        <w:rPr>
          <w:rFonts w:ascii="Cambria" w:hAnsi="Cambria" w:eastAsia="Cambria"/>
          <w:b w:val="0"/>
          <w:i w:val="0"/>
          <w:caps w:val="0"/>
          <w:color w:val="20242B"/>
          <w:sz w:val="20"/>
        </w:rPr>
        <w:t>Admission requires an application, a statement of leadership challenge, organisational nomination where applicable, and a pre-course diagnostic mapping the applicant’s tier and development needs against the seven competencies. Senior practitioners without a formal degree may be admitted through the portfolio and experience route. Eligibility criteria, English- and Somali-language requirements, deferral, withdrawal and refund provisions are set out in RIYAADA-ADM-2026-006.</w:t>
      </w:r>
    </w:p>
    <w:p>
      <w:pPr>
        <w:pStyle w:val="Heading1"/>
        <w:keepNext/>
      </w:pPr>
      <w:r>
        <w:t>9. Learner Entitlements and Obligations</w:t>
      </w:r>
    </w:p>
    <w:p>
      <w:pPr>
        <w:pStyle w:val="Heading2"/>
        <w:keepNext/>
      </w:pPr>
      <w:r>
        <w:t>9.1 What every RIYAADA learner is entitled to</w:t>
      </w:r>
    </w:p>
    <w:p>
      <w:pPr>
        <w:pStyle w:val="ListBullet"/>
        <w:spacing w:before="20" w:after="60" w:line="269" w:lineRule="auto"/>
      </w:pPr>
      <w:r>
        <w:rPr>
          <w:rFonts w:ascii="Cambria" w:hAnsi="Cambria" w:eastAsia="Cambria"/>
          <w:b w:val="0"/>
          <w:i w:val="0"/>
          <w:caps w:val="0"/>
          <w:color w:val="20242B"/>
          <w:sz w:val="19"/>
        </w:rPr>
        <w:t>A published curriculum, learning outcomes and assessment criteria before the course begins.</w:t>
      </w:r>
    </w:p>
    <w:p>
      <w:pPr>
        <w:pStyle w:val="ListBullet"/>
        <w:spacing w:before="20" w:after="60" w:line="269" w:lineRule="auto"/>
      </w:pPr>
      <w:r>
        <w:rPr>
          <w:rFonts w:ascii="Cambria" w:hAnsi="Cambria" w:eastAsia="Cambria"/>
          <w:b w:val="0"/>
          <w:i w:val="0"/>
          <w:caps w:val="0"/>
          <w:color w:val="20242B"/>
          <w:sz w:val="19"/>
        </w:rPr>
        <w:t>Qualified, oriented faculty and a facilitation ratio that permits genuine practical supervision.</w:t>
      </w:r>
    </w:p>
    <w:p>
      <w:pPr>
        <w:pStyle w:val="ListBullet"/>
        <w:spacing w:before="20" w:after="60" w:line="269" w:lineRule="auto"/>
      </w:pPr>
      <w:r>
        <w:rPr>
          <w:rFonts w:ascii="Cambria" w:hAnsi="Cambria" w:eastAsia="Cambria"/>
          <w:b w:val="0"/>
          <w:i w:val="0"/>
          <w:caps w:val="0"/>
          <w:color w:val="20242B"/>
          <w:sz w:val="19"/>
        </w:rPr>
        <w:t>Materials in a language they can work in, and reasonable adjustment for disability or specific learning need.</w:t>
      </w:r>
    </w:p>
    <w:p>
      <w:pPr>
        <w:pStyle w:val="ListBullet"/>
        <w:spacing w:before="20" w:after="60" w:line="269" w:lineRule="auto"/>
      </w:pPr>
      <w:r>
        <w:rPr>
          <w:rFonts w:ascii="Cambria" w:hAnsi="Cambria" w:eastAsia="Cambria"/>
          <w:b w:val="0"/>
          <w:i w:val="0"/>
          <w:caps w:val="0"/>
          <w:color w:val="20242B"/>
          <w:sz w:val="19"/>
        </w:rPr>
        <w:t>Transparent, criterion-referenced marking with feedback, and a right of appeal against an assessment decision.</w:t>
      </w:r>
    </w:p>
    <w:p>
      <w:pPr>
        <w:pStyle w:val="ListBullet"/>
        <w:spacing w:before="20" w:after="60" w:line="269" w:lineRule="auto"/>
      </w:pPr>
      <w:r>
        <w:rPr>
          <w:rFonts w:ascii="Cambria" w:hAnsi="Cambria" w:eastAsia="Cambria"/>
          <w:b w:val="0"/>
          <w:i w:val="0"/>
          <w:caps w:val="0"/>
          <w:color w:val="20242B"/>
          <w:sz w:val="19"/>
        </w:rPr>
        <w:t>A verifiable certificate and a permanent record of credit in the Executive Development Record.</w:t>
      </w:r>
    </w:p>
    <w:p>
      <w:pPr>
        <w:pStyle w:val="ListBullet"/>
        <w:spacing w:before="20" w:after="60" w:line="269" w:lineRule="auto"/>
      </w:pPr>
      <w:r>
        <w:rPr>
          <w:rFonts w:ascii="Cambria" w:hAnsi="Cambria" w:eastAsia="Cambria"/>
          <w:b w:val="0"/>
          <w:i w:val="0"/>
          <w:caps w:val="0"/>
          <w:color w:val="20242B"/>
          <w:sz w:val="19"/>
        </w:rPr>
        <w:t>Confidential handling of personal data and of any institutional information disclosed during applied work.</w:t>
      </w:r>
    </w:p>
    <w:p>
      <w:pPr>
        <w:pStyle w:val="ListBullet"/>
        <w:spacing w:before="20" w:after="60" w:line="269" w:lineRule="auto"/>
      </w:pPr>
      <w:r>
        <w:rPr>
          <w:rFonts w:ascii="Cambria" w:hAnsi="Cambria" w:eastAsia="Cambria"/>
          <w:b w:val="0"/>
          <w:i w:val="0"/>
          <w:caps w:val="0"/>
          <w:color w:val="20242B"/>
          <w:sz w:val="19"/>
        </w:rPr>
        <w:t>A complaints route that is documented, time-bound and free of detriment.</w:t>
      </w:r>
    </w:p>
    <w:p>
      <w:pPr>
        <w:pStyle w:val="Heading2"/>
        <w:keepNext/>
      </w:pPr>
      <w:r>
        <w:t>9.2 What RIYAADA expects of every learner</w:t>
      </w:r>
    </w:p>
    <w:p>
      <w:pPr>
        <w:pStyle w:val="ListBullet"/>
        <w:spacing w:before="20" w:after="60" w:line="269" w:lineRule="auto"/>
      </w:pPr>
      <w:r>
        <w:rPr>
          <w:rFonts w:ascii="Cambria" w:hAnsi="Cambria" w:eastAsia="Cambria"/>
          <w:b w:val="0"/>
          <w:i w:val="0"/>
          <w:caps w:val="0"/>
          <w:color w:val="20242B"/>
          <w:sz w:val="19"/>
        </w:rPr>
        <w:t>Attendance of at least 80% of scheduled contact time and active participation in practical work.</w:t>
      </w:r>
    </w:p>
    <w:p>
      <w:pPr>
        <w:pStyle w:val="ListBullet"/>
        <w:spacing w:before="20" w:after="60" w:line="269" w:lineRule="auto"/>
      </w:pPr>
      <w:r>
        <w:rPr>
          <w:rFonts w:ascii="Cambria" w:hAnsi="Cambria" w:eastAsia="Cambria"/>
          <w:b w:val="0"/>
          <w:i w:val="0"/>
          <w:caps w:val="0"/>
          <w:color w:val="20242B"/>
          <w:sz w:val="19"/>
        </w:rPr>
        <w:t>Original work, honestly attributed, in every assessed submission.</w:t>
      </w:r>
    </w:p>
    <w:p>
      <w:pPr>
        <w:pStyle w:val="ListBullet"/>
        <w:spacing w:before="20" w:after="60" w:line="269" w:lineRule="auto"/>
      </w:pPr>
      <w:r>
        <w:rPr>
          <w:rFonts w:ascii="Cambria" w:hAnsi="Cambria" w:eastAsia="Cambria"/>
          <w:b w:val="0"/>
          <w:i w:val="0"/>
          <w:caps w:val="0"/>
          <w:color w:val="20242B"/>
          <w:sz w:val="19"/>
        </w:rPr>
        <w:t>Respect for the confidentiality of case material and of fellow participants’ institutional disclosures.</w:t>
      </w:r>
    </w:p>
    <w:p>
      <w:pPr>
        <w:pStyle w:val="ListBullet"/>
        <w:spacing w:before="20" w:after="60" w:line="269" w:lineRule="auto"/>
      </w:pPr>
      <w:r>
        <w:rPr>
          <w:rFonts w:ascii="Cambria" w:hAnsi="Cambria" w:eastAsia="Cambria"/>
          <w:b w:val="0"/>
          <w:i w:val="0"/>
          <w:caps w:val="0"/>
          <w:color w:val="20242B"/>
          <w:sz w:val="19"/>
        </w:rPr>
        <w:t>Professional conduct consistent with the RIYAADA code of conduct throughout the programme and follow-up period.</w:t>
      </w:r>
    </w:p>
    <w:p>
      <w:pPr>
        <w:pStyle w:val="ListBullet"/>
        <w:spacing w:before="20" w:after="60" w:line="269" w:lineRule="auto"/>
      </w:pPr>
      <w:r>
        <w:rPr>
          <w:rFonts w:ascii="Cambria" w:hAnsi="Cambria" w:eastAsia="Cambria"/>
          <w:b w:val="0"/>
          <w:i w:val="0"/>
          <w:caps w:val="0"/>
          <w:color w:val="20242B"/>
          <w:sz w:val="19"/>
        </w:rPr>
        <w:t>Completion of the 90-day implementation report where the award requires it.</w:t>
      </w:r>
    </w:p>
    <w:p>
      <w:pPr>
        <w:pStyle w:val="Heading1"/>
        <w:keepNext/>
      </w:pPr>
      <w:r>
        <w:t>10. Alumni and Continuing Engagement</w:t>
      </w:r>
    </w:p>
    <w:p>
      <w:pPr>
        <w:pStyle w:val="ListBullet"/>
        <w:spacing w:before="20" w:after="60" w:line="269" w:lineRule="auto"/>
      </w:pPr>
      <w:r>
        <w:rPr>
          <w:rFonts w:ascii="Cambria" w:hAnsi="Cambria" w:eastAsia="Cambria"/>
          <w:b w:val="0"/>
          <w:i w:val="0"/>
          <w:caps w:val="0"/>
          <w:color w:val="20242B"/>
          <w:sz w:val="19"/>
        </w:rPr>
        <w:t>RIYAADA leadership and governance alumni network, convened across sectors and tiers.</w:t>
      </w:r>
    </w:p>
    <w:p>
      <w:pPr>
        <w:pStyle w:val="ListBullet"/>
        <w:spacing w:before="20" w:after="60" w:line="269" w:lineRule="auto"/>
      </w:pPr>
      <w:r>
        <w:rPr>
          <w:rFonts w:ascii="Cambria" w:hAnsi="Cambria" w:eastAsia="Cambria"/>
          <w:b w:val="0"/>
          <w:i w:val="0"/>
          <w:caps w:val="0"/>
          <w:color w:val="20242B"/>
          <w:sz w:val="19"/>
        </w:rPr>
        <w:t>Refresher masterclasses, executive briefings and policy roundtables.</w:t>
      </w:r>
    </w:p>
    <w:p>
      <w:pPr>
        <w:pStyle w:val="ListBullet"/>
        <w:spacing w:before="20" w:after="60" w:line="269" w:lineRule="auto"/>
      </w:pPr>
      <w:r>
        <w:rPr>
          <w:rFonts w:ascii="Cambria" w:hAnsi="Cambria" w:eastAsia="Cambria"/>
          <w:b w:val="0"/>
          <w:i w:val="0"/>
          <w:caps w:val="0"/>
          <w:color w:val="20242B"/>
          <w:sz w:val="19"/>
        </w:rPr>
        <w:t>Coaching alumni clinics and peer learning circles.</w:t>
      </w:r>
    </w:p>
    <w:p>
      <w:pPr>
        <w:pStyle w:val="ListBullet"/>
        <w:spacing w:before="20" w:after="60" w:line="269" w:lineRule="auto"/>
      </w:pPr>
      <w:r>
        <w:rPr>
          <w:rFonts w:ascii="Cambria" w:hAnsi="Cambria" w:eastAsia="Cambria"/>
          <w:b w:val="0"/>
          <w:i w:val="0"/>
          <w:caps w:val="0"/>
          <w:color w:val="20242B"/>
          <w:sz w:val="19"/>
        </w:rPr>
        <w:t>A governance and leadership community of practice hosted on the digital platform.</w:t>
      </w:r>
    </w:p>
    <w:p>
      <w:pPr>
        <w:pStyle w:val="ListBullet"/>
        <w:spacing w:before="20" w:after="60" w:line="269" w:lineRule="auto"/>
      </w:pPr>
      <w:r>
        <w:rPr>
          <w:rFonts w:ascii="Cambria" w:hAnsi="Cambria" w:eastAsia="Cambria"/>
          <w:b w:val="0"/>
          <w:i w:val="0"/>
          <w:caps w:val="0"/>
          <w:color w:val="20242B"/>
          <w:sz w:val="19"/>
        </w:rPr>
        <w:t>Opportunities to develop case studies, policy briefs and practitioner publications through RIYAADA Journals and RUGSAN Publisher.</w:t>
      </w:r>
    </w:p>
    <w:p>
      <w:pPr>
        <w:pStyle w:val="ListBullet"/>
        <w:spacing w:before="20" w:after="60" w:line="269" w:lineRule="auto"/>
      </w:pPr>
      <w:r>
        <w:rPr>
          <w:rFonts w:ascii="Cambria" w:hAnsi="Cambria" w:eastAsia="Cambria"/>
          <w:b w:val="0"/>
          <w:i w:val="0"/>
          <w:caps w:val="0"/>
          <w:color w:val="20242B"/>
          <w:sz w:val="19"/>
        </w:rPr>
        <w:t>Mentoring and faculty-development pathways for distinguished graduates.</w:t>
      </w:r>
    </w:p>
    <w:p>
      <w:pPr>
        <w:pStyle w:val="Heading1"/>
        <w:keepNext/>
      </w:pPr>
      <w:r>
        <w:t>11. Caveats and Currency of this Catalogue</w:t>
      </w:r>
    </w:p>
    <w:p>
      <w:pPr>
        <w:pStyle w:val="ListBullet"/>
        <w:spacing w:before="20" w:after="60" w:line="269" w:lineRule="auto"/>
      </w:pPr>
      <w:r>
        <w:rPr>
          <w:rFonts w:ascii="Cambria" w:hAnsi="Cambria" w:eastAsia="Cambria"/>
          <w:b w:val="0"/>
          <w:i w:val="0"/>
          <w:caps w:val="0"/>
          <w:color w:val="20242B"/>
          <w:sz w:val="19"/>
        </w:rPr>
        <w:t>Programme availability is subject to the approved academic calendar, minimum viable enrolment, faculty availability and institutional capacity.</w:t>
      </w:r>
    </w:p>
    <w:p>
      <w:pPr>
        <w:pStyle w:val="ListBullet"/>
        <w:spacing w:before="20" w:after="60" w:line="269" w:lineRule="auto"/>
      </w:pPr>
      <w:r>
        <w:rPr>
          <w:rFonts w:ascii="Cambria" w:hAnsi="Cambria" w:eastAsia="Cambria"/>
          <w:b w:val="0"/>
          <w:i w:val="0"/>
          <w:caps w:val="0"/>
          <w:color w:val="20242B"/>
          <w:sz w:val="19"/>
        </w:rPr>
        <w:t>Course titles, examples, readings, case materials and assessment instruments may be updated through the approved curriculum and quality-assurance process without changing the stated competency standard.</w:t>
      </w:r>
    </w:p>
    <w:p>
      <w:pPr>
        <w:pStyle w:val="ListBullet"/>
        <w:spacing w:before="20" w:after="60" w:line="269" w:lineRule="auto"/>
      </w:pPr>
      <w:r>
        <w:rPr>
          <w:rFonts w:ascii="Cambria" w:hAnsi="Cambria" w:eastAsia="Cambria"/>
          <w:b w:val="0"/>
          <w:i w:val="0"/>
          <w:caps w:val="0"/>
          <w:color w:val="20242B"/>
          <w:sz w:val="19"/>
        </w:rPr>
        <w:t>The award framework is an institutional professional-education framework. It does not claim automatic equivalence with a national qualifications framework, university degree or externally regulated professional licence unless such recognition is expressly stated in writing.</w:t>
      </w:r>
    </w:p>
    <w:p>
      <w:pPr>
        <w:pStyle w:val="ListBullet"/>
        <w:spacing w:before="20" w:after="60" w:line="269" w:lineRule="auto"/>
      </w:pPr>
      <w:r>
        <w:rPr>
          <w:rFonts w:ascii="Cambria" w:hAnsi="Cambria" w:eastAsia="Cambria"/>
          <w:b w:val="0"/>
          <w:i w:val="0"/>
          <w:caps w:val="0"/>
          <w:color w:val="20242B"/>
          <w:sz w:val="19"/>
        </w:rPr>
        <w:t>Admission to a programme does not guarantee an award. Certification depends on attendance, academic integrity and successful completion of the required assessments and applied outputs.</w:t>
      </w:r>
    </w:p>
    <w:p>
      <w:pPr>
        <w:pStyle w:val="ListBullet"/>
        <w:spacing w:before="20" w:after="60" w:line="269" w:lineRule="auto"/>
      </w:pPr>
      <w:r>
        <w:rPr>
          <w:rFonts w:ascii="Cambria" w:hAnsi="Cambria" w:eastAsia="Cambria"/>
          <w:b w:val="0"/>
          <w:i w:val="0"/>
          <w:caps w:val="0"/>
          <w:color w:val="20242B"/>
          <w:sz w:val="19"/>
        </w:rPr>
        <w:t>Fees, scholarships, concessions and commissioned-cohort quotations are governed by the current controlled Fee Schedule and written offer, not by informal or historic quotations.</w:t>
      </w:r>
    </w:p>
    <w:p>
      <w:pPr>
        <w:pStyle w:val="ListBullet"/>
        <w:spacing w:before="20" w:after="60" w:line="269" w:lineRule="auto"/>
      </w:pPr>
      <w:r>
        <w:rPr>
          <w:rFonts w:ascii="Cambria" w:hAnsi="Cambria" w:eastAsia="Cambria"/>
          <w:b w:val="0"/>
          <w:i w:val="0"/>
          <w:caps w:val="0"/>
          <w:color w:val="20242B"/>
          <w:sz w:val="19"/>
        </w:rPr>
        <w:t>Where programmes are customised for a commissioning institution, the context, language and applied outputs may change, but the learning outcomes, assessment threshold and quality controls remain protected.</w:t>
      </w:r>
    </w:p>
    <w:p>
      <w:pPr>
        <w:pStyle w:val="ListBullet"/>
        <w:spacing w:before="20" w:after="60" w:line="269" w:lineRule="auto"/>
      </w:pPr>
      <w:r>
        <w:rPr>
          <w:rFonts w:ascii="Cambria" w:hAnsi="Cambria" w:eastAsia="Cambria"/>
          <w:b w:val="0"/>
          <w:i w:val="0"/>
          <w:caps w:val="0"/>
          <w:color w:val="20242B"/>
          <w:sz w:val="19"/>
        </w:rPr>
        <w:t>The five-day format is a default delivery model, not a fixed requirement; duration, contact hours, sequencing and modality are adapted to commissioning objectives, participant tier, language need, cohort size and the level of coaching support required.</w:t>
      </w:r>
    </w:p>
    <w:p>
      <w:pPr>
        <w:pStyle w:val="ListBullet"/>
        <w:spacing w:before="20" w:after="60" w:line="269" w:lineRule="auto"/>
      </w:pPr>
      <w:r>
        <w:rPr>
          <w:rFonts w:ascii="Cambria" w:hAnsi="Cambria" w:eastAsia="Cambria"/>
          <w:b w:val="0"/>
          <w:i w:val="0"/>
          <w:caps w:val="0"/>
          <w:color w:val="20242B"/>
          <w:sz w:val="19"/>
        </w:rPr>
        <w:t>RIYAADA’s proprietary frameworks — LEADER, MANAGER, DIRECTOR and LEADERSHIP — are institutional intellectual property. External frameworks, models and standards remain attributed to their authors and issuing bodies.</w:t>
      </w:r>
    </w:p>
    <w:p>
      <w:pPr>
        <w:pStyle w:val="ListBullet"/>
        <w:spacing w:before="20" w:after="60" w:line="269" w:lineRule="auto"/>
      </w:pPr>
      <w:r>
        <w:rPr>
          <w:rFonts w:ascii="Cambria" w:hAnsi="Cambria" w:eastAsia="Cambria"/>
          <w:b w:val="0"/>
          <w:i w:val="0"/>
          <w:caps w:val="0"/>
          <w:color w:val="20242B"/>
          <w:sz w:val="19"/>
        </w:rPr>
        <w:t>This catalogue is reviewed annually. The controlled electronic version published on www.riyaadaacademy.com is authoritative; printed copies are uncontrolled.</w:t>
      </w:r>
    </w:p>
    <w:p>
      <w:pPr>
        <w:pStyle w:val="Heading1"/>
        <w:keepNext/>
      </w:pPr>
      <w:r>
        <w:t>Authorised Sign-off</w:t>
      </w:r>
    </w:p>
    <w:p>
      <w:pPr>
        <w:spacing w:before="40" w:after="120" w:line="283" w:lineRule="auto"/>
        <w:jc w:val="both"/>
      </w:pPr>
      <w:r>
        <w:rPr>
          <w:rFonts w:ascii="Cambria" w:hAnsi="Cambria" w:eastAsia="Cambria"/>
          <w:b w:val="0"/>
          <w:i w:val="0"/>
          <w:caps w:val="0"/>
          <w:color w:val="20242B"/>
          <w:sz w:val="20"/>
        </w:rPr>
        <w:t>This document is a controlled institutional instrument of the RIYAADA Institute for Leadership &amp; Governance. It takes effect on the date of issue recorded in the Document Control panel and remains in force until superseded, withdrawn or revised through the approval route below.</w:t>
      </w:r>
    </w:p>
    <w:tbl>
      <w:tblPr>
        <w:tblW w:type="auto" w:w="0"/>
        <w:jc w:val="center"/>
        <w:tblLayout w:type="fixed"/>
        <w:tblLook w:firstColumn="1" w:firstRow="1" w:lastColumn="0" w:lastRow="0" w:noHBand="0" w:noVBand="1" w:val="04A0"/>
        <w:tblBorders>
          <w:top w:val="single" w:sz="5" w:space="0" w:color="C9D2DC"/>
          <w:left w:val="single" w:sz="5" w:space="0" w:color="C9D2DC"/>
          <w:bottom w:val="single" w:sz="5" w:space="0" w:color="C9D2DC"/>
          <w:right w:val="single" w:sz="5" w:space="0" w:color="C9D2DC"/>
          <w:insideH w:val="single" w:sz="4" w:space="0" w:color="C9D2DC"/>
          <w:insideV w:val="single" w:sz="4" w:space="0" w:color="C9D2DC"/>
        </w:tblBorders>
      </w:tblPr>
      <w:tblGrid>
        <w:gridCol w:w="3600"/>
        <w:gridCol w:w="2880"/>
        <w:gridCol w:w="1656"/>
        <w:gridCol w:w="1008"/>
      </w:tblGrid>
      <w:tr>
        <w:trPr>
          <w:tblHeader w:val="true"/>
        </w:trPr>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ROLE</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NAME</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SIGNATURE</w:t>
            </w:r>
          </w:p>
        </w:tc>
        <w:tc>
          <w:tcPr>
            <w:tcW w:type="dxa" w:w="2437"/>
            <w:shd w:fill="13315C" w:val="clear"/>
            <w:tcMar>
              <w:top w:w="90" w:type="dxa"/>
              <w:start w:w="90" w:type="dxa"/>
              <w:bottom w:w="90" w:type="dxa"/>
              <w:end w:w="90" w:type="dxa"/>
            </w:tcMar>
            <w:vAlign w:val="center"/>
          </w:tcPr>
          <w:p>
            <w:pPr>
              <w:spacing w:after="0"/>
              <w:jc w:val="left"/>
            </w:pPr>
            <w:r>
              <w:rPr>
                <w:rFonts w:ascii="Calibri" w:hAnsi="Calibri" w:eastAsia="Calibri"/>
                <w:b/>
                <w:i w:val="0"/>
                <w:caps w:val="0"/>
                <w:color w:val="FFFFFF"/>
                <w:sz w:val="16"/>
              </w:rPr>
              <w:t>DATE</w:t>
            </w:r>
          </w:p>
        </w:tc>
      </w:tr>
      <w:tr>
        <w:trPr>
          <w:cantSplit/>
        </w:trPr>
        <w:tc>
          <w:tcPr>
            <w:tcW w:type="dxa" w:w="360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Prepared by — Curriculum &amp; Programmes Unit</w:t>
            </w:r>
          </w:p>
        </w:tc>
        <w:tc>
          <w:tcPr>
            <w:tcW w:type="dxa" w:w="28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[Name]</w:t>
            </w:r>
          </w:p>
        </w:tc>
        <w:tc>
          <w:tcPr>
            <w:tcW w:type="dxa" w:w="16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c>
          <w:tcPr>
            <w:tcW w:type="dxa" w:w="100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r>
      <w:tr>
        <w:trPr>
          <w:cantSplit/>
        </w:trPr>
        <w:tc>
          <w:tcPr>
            <w:tcW w:type="dxa" w:w="360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Reviewed by — Academic Board</w:t>
            </w:r>
          </w:p>
        </w:tc>
        <w:tc>
          <w:tcPr>
            <w:tcW w:type="dxa" w:w="28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[Name]</w:t>
            </w:r>
          </w:p>
        </w:tc>
        <w:tc>
          <w:tcPr>
            <w:tcW w:type="dxa" w:w="16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c>
          <w:tcPr>
            <w:tcW w:type="dxa" w:w="100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r>
      <w:tr>
        <w:trPr>
          <w:cantSplit/>
        </w:trPr>
        <w:tc>
          <w:tcPr>
            <w:tcW w:type="dxa" w:w="360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Quality assured by — Quality Assurance Unit</w:t>
            </w:r>
          </w:p>
        </w:tc>
        <w:tc>
          <w:tcPr>
            <w:tcW w:type="dxa" w:w="2880"/>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[Name]</w:t>
            </w:r>
          </w:p>
        </w:tc>
        <w:tc>
          <w:tcPr>
            <w:tcW w:type="dxa" w:w="1656"/>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c>
          <w:tcPr>
            <w:tcW w:type="dxa" w:w="1008"/>
            <w:shd w:fill="FFFFFF"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r>
      <w:tr>
        <w:trPr>
          <w:cantSplit/>
        </w:trPr>
        <w:tc>
          <w:tcPr>
            <w:tcW w:type="dxa" w:w="360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Approved by — Founder &amp; Chair</w:t>
            </w:r>
          </w:p>
        </w:tc>
        <w:tc>
          <w:tcPr>
            <w:tcW w:type="dxa" w:w="2880"/>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t>Dr. Abdulrazaq Yusuf Ahmed (Dr. Jalaaludiin)</w:t>
            </w:r>
          </w:p>
        </w:tc>
        <w:tc>
          <w:tcPr>
            <w:tcW w:type="dxa" w:w="1656"/>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c>
          <w:tcPr>
            <w:tcW w:type="dxa" w:w="1008"/>
            <w:shd w:fill="F3F7FB" w:val="clear"/>
            <w:tcMar>
              <w:top w:w="80" w:type="dxa"/>
              <w:start w:w="90" w:type="dxa"/>
              <w:bottom w:w="80" w:type="dxa"/>
              <w:end w:w="90" w:type="dxa"/>
            </w:tcMar>
            <w:vAlign w:val="center"/>
          </w:tcPr>
          <w:p>
            <w:pPr>
              <w:spacing w:after="0" w:line="240" w:lineRule="auto"/>
              <w:jc w:val="left"/>
            </w:pPr>
            <w:r/>
            <w:r>
              <w:rPr>
                <w:rFonts w:ascii="Cambria" w:hAnsi="Cambria" w:eastAsia="Cambria"/>
                <w:b w:val="0"/>
                <w:i w:val="0"/>
                <w:caps w:val="0"/>
                <w:color w:val="20242B"/>
                <w:sz w:val="16"/>
              </w:rPr>
            </w:r>
          </w:p>
        </w:tc>
      </w:tr>
    </w:tbl>
    <w:p>
      <w:pPr>
        <w:spacing w:before="60" w:after="60" w:line="276" w:lineRule="auto"/>
      </w:pPr>
    </w:p>
    <w:tbl>
      <w:tblPr>
        <w:tblW w:type="auto" w:w="0"/>
        <w:jc w:val="center"/>
        <w:tblLayout w:type="fixed"/>
        <w:tblLook w:firstColumn="1" w:firstRow="1" w:lastColumn="0" w:lastRow="0" w:noHBand="0" w:noVBand="1" w:val="04A0"/>
        <w:tblBorders>
          <w:top w:val="single" w:sz="8" w:space="0" w:color="C08A2E"/>
          <w:left w:val="single" w:sz="8" w:space="0" w:color="C08A2E"/>
          <w:bottom w:val="single" w:sz="8" w:space="0" w:color="C08A2E"/>
          <w:right w:val="single" w:sz="8" w:space="0" w:color="C08A2E"/>
          <w:insideH w:val="single" w:sz="4" w:space="0" w:color="C08A2E"/>
          <w:insideV w:val="single" w:sz="4" w:space="0" w:color="C08A2E"/>
        </w:tblBorders>
      </w:tblPr>
      <w:tblGrid>
        <w:gridCol w:w="9144"/>
      </w:tblGrid>
      <w:tr>
        <w:trPr>
          <w:cantSplit/>
        </w:trPr>
        <w:tc>
          <w:tcPr>
            <w:tcW w:type="dxa" w:w="9749"/>
            <w:shd w:fill="FBF6EA" w:val="clear"/>
            <w:tcMar>
              <w:top w:w="120" w:type="dxa"/>
              <w:start w:w="180" w:type="dxa"/>
              <w:bottom w:w="120" w:type="dxa"/>
              <w:end w:w="150" w:type="dxa"/>
            </w:tcMar>
          </w:tcPr>
          <w:p>
            <w:pPr>
              <w:spacing w:after="80"/>
            </w:pPr>
            <w:r>
              <w:rPr>
                <w:rFonts w:ascii="Calibri" w:hAnsi="Calibri" w:eastAsia="Calibri"/>
                <w:b/>
                <w:i w:val="0"/>
                <w:caps w:val="0"/>
                <w:color w:val="A5761F"/>
                <w:sz w:val="19"/>
              </w:rPr>
              <w:t>CONTROLLED COPY NOTICE</w:t>
            </w:r>
          </w:p>
          <w:p>
            <w:pPr>
              <w:spacing w:after="60" w:line="264" w:lineRule="auto"/>
            </w:pPr>
            <w:r>
              <w:rPr>
                <w:rFonts w:ascii="Cambria" w:hAnsi="Cambria" w:eastAsia="Cambria"/>
                <w:b w:val="0"/>
                <w:i w:val="0"/>
                <w:caps w:val="0"/>
                <w:color w:val="20242B"/>
                <w:sz w:val="19"/>
              </w:rPr>
              <w:t>Printed copies of this document are uncontrolled unless stamped and registered by the Quality Assurance Unit. The authoritative version is the electronic copy held in the RIYAADA Institutional Document Register.</w:t>
            </w:r>
          </w:p>
          <w:p>
            <w:pPr>
              <w:spacing w:after="60" w:line="264" w:lineRule="auto"/>
            </w:pPr>
            <w:r>
              <w:rPr>
                <w:rFonts w:ascii="Cambria" w:hAnsi="Cambria" w:eastAsia="Cambria"/>
                <w:b w:val="0"/>
                <w:i w:val="0"/>
                <w:caps w:val="0"/>
                <w:color w:val="20242B"/>
                <w:sz w:val="19"/>
              </w:rPr>
              <w:t>Requests for interpretation, exemption or amendment should be addressed to the Registrar and Quality Assurance Unit at info@riyaadaacademy.com.</w:t>
            </w:r>
          </w:p>
        </w:tc>
      </w:tr>
    </w:tbl>
    <w:p>
      <w:pPr>
        <w:spacing w:before="60" w:after="60" w:line="276" w:lineRule="auto"/>
      </w:pPr>
    </w:p>
    <w:p>
      <w:pPr>
        <w:spacing w:before="280" w:after="80" w:line="276" w:lineRule="auto"/>
        <w:jc w:val="center"/>
      </w:pPr>
      <w:r>
        <w:rPr>
          <w:rFonts w:ascii="Calibri" w:hAnsi="Calibri" w:eastAsia="Calibri"/>
          <w:b/>
          <w:i w:val="0"/>
          <w:caps w:val="0"/>
          <w:color w:val="A5761F"/>
          <w:sz w:val="24"/>
        </w:rPr>
        <w:t>LEARN.  QUALIFY.  LEAD.</w:t>
      </w:r>
    </w:p>
    <w:sectPr w:rsidR="00FC693F" w:rsidRPr="0006063C" w:rsidSect="00034616">
      <w:headerReference w:type="default" r:id="rId9"/>
      <w:footerReference w:type="default" r:id="rId10"/>
      <w:pgSz w:w="11909" w:h="16834"/>
      <w:pgMar w:top="1238" w:right="1080" w:bottom="1224" w:left="1080" w:header="504" w:footer="576"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color="C08A2E"/>
      </w:pBd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312"/>
      <w:gridCol w:w="3888"/>
      <w:gridCol w:w="2520"/>
    </w:tblGrid>
    <w:tr>
      <w:tc>
        <w:tcPr>
          <w:tcW w:type="dxa" w:w="3240"/>
          <w:tcMar>
            <w:top w:w="0" w:type="dxa"/>
            <w:start w:w="0" w:type="dxa"/>
            <w:bottom w:w="0" w:type="dxa"/>
            <w:end w:w="0" w:type="dxa"/>
          </w:tcMar>
        </w:tcPr>
        <w:p>
          <w:r>
            <w:rPr>
              <w:rFonts w:ascii="Calibri" w:hAnsi="Calibri" w:eastAsia="Calibri"/>
              <w:b/>
              <w:i w:val="0"/>
              <w:caps w:val="0"/>
              <w:color w:val="13315C"/>
              <w:sz w:val="12"/>
            </w:rPr>
            <w:t>OFFICIAL &amp; CONTROLLED DOCUMENT</w:t>
          </w:r>
        </w:p>
        <w:p>
          <w:r>
            <w:rPr>
              <w:rFonts w:ascii="Calibri" w:hAnsi="Calibri" w:eastAsia="Calibri"/>
              <w:b w:val="0"/>
              <w:i w:val="0"/>
              <w:caps w:val="0"/>
              <w:color w:val="5A6472"/>
              <w:sz w:val="12"/>
            </w:rPr>
            <w:t>RIYAADA-CAT-2026-001  |  © 2026 RIYAADA</w:t>
          </w:r>
        </w:p>
      </w:tc>
      <w:tc>
        <w:tcPr>
          <w:tcW w:type="dxa" w:w="3240"/>
          <w:tcMar>
            <w:top w:w="0" w:type="dxa"/>
            <w:start w:w="0" w:type="dxa"/>
            <w:bottom w:w="0" w:type="dxa"/>
            <w:end w:w="0" w:type="dxa"/>
          </w:tcMar>
        </w:tcPr>
        <w:p>
          <w:pPr>
            <w:jc w:val="center"/>
          </w:pPr>
          <w:r>
            <w:rPr>
              <w:rFonts w:ascii="Calibri" w:hAnsi="Calibri" w:eastAsia="Calibri"/>
              <w:b/>
              <w:i w:val="0"/>
              <w:caps w:val="0"/>
              <w:color w:val="13787F"/>
              <w:sz w:val="13"/>
            </w:rPr>
            <w:t>Academic &amp; Professional Programme Catalogue</w:t>
          </w:r>
        </w:p>
        <w:p>
          <w:pPr>
            <w:jc w:val="center"/>
          </w:pPr>
          <w:r>
            <w:rPr>
              <w:rFonts w:ascii="Calibri" w:hAnsi="Calibri" w:eastAsia="Calibri"/>
              <w:b w:val="0"/>
              <w:i w:val="0"/>
              <w:caps w:val="0"/>
              <w:color w:val="5A6472"/>
              <w:sz w:val="12"/>
            </w:rPr>
            <w:t>www.riyaadaacademy.com  |  info@riyaadaacademy.com</w:t>
          </w:r>
        </w:p>
      </w:tc>
      <w:tc>
        <w:tcPr>
          <w:tcW w:type="dxa" w:w="3240"/>
          <w:tcMar>
            <w:top w:w="0" w:type="dxa"/>
            <w:start w:w="0" w:type="dxa"/>
            <w:bottom w:w="0" w:type="dxa"/>
            <w:end w:w="0" w:type="dxa"/>
          </w:tcMar>
        </w:tcPr>
        <w:p>
          <w:pPr>
            <w:jc w:val="right"/>
          </w:pPr>
          <w:r>
            <w:rPr>
              <w:rFonts w:ascii="Calibri" w:hAnsi="Calibri" w:eastAsia="Calibri"/>
              <w:b w:val="0"/>
              <w:i w:val="0"/>
              <w:caps w:val="0"/>
              <w:color w:val="5A6472"/>
              <w:sz w:val="12"/>
            </w:rPr>
            <w:t>Version 1.0  •  July 2026</w:t>
          </w:r>
        </w:p>
        <w:p>
          <w:pPr>
            <w:jc w:val="right"/>
          </w:pPr>
          <w:r>
            <w:rPr>
              <w:rFonts w:ascii="Calibri" w:hAnsi="Calibri" w:eastAsia="Calibri"/>
              <w:b w:val="0"/>
              <w:i w:val="0"/>
              <w:caps w:val="0"/>
              <w:color w:val="13315C"/>
              <w:sz w:val="13"/>
            </w:rPr>
            <w:t xml:space="preserve">Page </w:t>
          </w:r>
          <w:r>
            <w:fldChar w:fldCharType="begin"/>
            <w:instrText xml:space="preserve">PAGE</w:instrText>
            <w:fldChar w:fldCharType="separate"/>
            <w:t>1</w:t>
            <w:fldChar w:fldCharType="end"/>
          </w:r>
        </w:p>
      </w:tc>
    </w:tr>
  </w:tbl>
  <w:p>
    <w:pPr>
      <w:spacing w:before="20" w:after="0"/>
      <w:jc w:val="center"/>
    </w:pPr>
    <w:r>
      <w:rPr>
        <w:rFonts w:ascii="Calibri" w:hAnsi="Calibri" w:eastAsia="Calibri"/>
        <w:b w:val="0"/>
        <w:i w:val="0"/>
        <w:caps w:val="0"/>
        <w:color w:val="5A6472"/>
        <w:sz w:val="11"/>
      </w:rPr>
      <w:t>Abdiaziz District, Via Bandar Qaasim, Mogadishu, Somalia  |  +252 617 596 220  |  +252 610 423 719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pPr>
    <w:r>
      <w:rPr>
        <w:rFonts w:ascii="Calibri" w:hAnsi="Calibri" w:eastAsia="Calibri"/>
        <w:b w:val="0"/>
        <w:i w:val="0"/>
        <w:caps w:val="0"/>
        <w:color w:val="FFFFFF"/>
        <w:sz w:val="2"/>
      </w:rPr>
      <w:t xml:space="preserve"> </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768"/>
      <w:gridCol w:w="2952"/>
    </w:tblGrid>
    <w:tr>
      <w:tc>
        <w:tcPr>
          <w:tcW w:type="dxa" w:w="4860"/>
          <w:tcMar>
            <w:top w:w="0" w:type="dxa"/>
            <w:start w:w="0" w:type="dxa"/>
            <w:bottom w:w="0" w:type="dxa"/>
            <w:end w:w="0" w:type="dxa"/>
          </w:tcMar>
        </w:tcPr>
        <w:p>
          <w:pPr>
            <w:spacing w:after="0"/>
          </w:pPr>
          <w:r>
            <w:rPr>
              <w:rFonts w:ascii="Calibri" w:hAnsi="Calibri" w:eastAsia="Calibri"/>
              <w:b/>
              <w:i w:val="0"/>
              <w:caps w:val="0"/>
              <w:color w:val="13315C"/>
              <w:sz w:val="17"/>
            </w:rPr>
            <w:t>RIYAADA INSTITUTE FOR LEADERSHIP &amp; GOVERNANCE</w:t>
          </w:r>
        </w:p>
        <w:p>
          <w:pPr>
            <w:spacing w:after="0"/>
          </w:pPr>
          <w:r>
            <w:rPr>
              <w:rFonts w:ascii="Cambria" w:hAnsi="Cambria" w:eastAsia="Cambria"/>
              <w:b w:val="0"/>
              <w:i/>
              <w:caps w:val="0"/>
              <w:color w:val="13787F"/>
              <w:sz w:val="14"/>
            </w:rPr>
            <w:t>Educating Leaders. Producing Knowledge. Transforming Institutions.</w:t>
          </w:r>
        </w:p>
      </w:tc>
      <w:tc>
        <w:tcPr>
          <w:tcW w:type="dxa" w:w="4860"/>
          <w:tcMar>
            <w:top w:w="0" w:type="dxa"/>
            <w:start w:w="0" w:type="dxa"/>
            <w:bottom w:w="0" w:type="dxa"/>
            <w:end w:w="0" w:type="dxa"/>
          </w:tcMar>
        </w:tcPr>
        <w:p>
          <w:pPr>
            <w:spacing w:after="0"/>
            <w:jc w:val="right"/>
          </w:pPr>
          <w:r>
            <w:rPr>
              <w:rFonts w:ascii="Calibri" w:hAnsi="Calibri" w:eastAsia="Calibri"/>
              <w:b/>
              <w:i w:val="0"/>
              <w:caps w:val="0"/>
              <w:color w:val="A5761F"/>
              <w:sz w:val="14"/>
            </w:rPr>
            <w:t>RIYAADA ACADEMY</w:t>
          </w:r>
        </w:p>
        <w:p>
          <w:pPr>
            <w:spacing w:after="0"/>
            <w:jc w:val="right"/>
          </w:pPr>
          <w:r>
            <w:rPr>
              <w:rFonts w:ascii="Calibri" w:hAnsi="Calibri" w:eastAsia="Calibri"/>
              <w:b w:val="0"/>
              <w:i w:val="0"/>
              <w:caps w:val="0"/>
              <w:color w:val="5A6472"/>
              <w:sz w:val="13"/>
            </w:rPr>
            <w:t>RIYAADA-CAT-2026-001</w:t>
          </w:r>
        </w:p>
      </w:tc>
    </w:tr>
  </w:tbl>
  <w:p>
    <w:pPr>
      <w:spacing w:before="0" w:after="0"/>
      <w:pBdr>
        <w:bottom w:val="single" w:sz="8" w:color="C08A2E"/>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Cambria" w:hAnsi="Cambria" w:eastAsia="Cambria"/>
      <w:color w:val="2024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Bdr>
        <w:bottom w:val="single" w:sz="8" w:space="4" w:color="C08A2E"/>
      </w:pBdr>
    </w:pPr>
    <w:rPr>
      <w:rFonts w:asciiTheme="majorHAnsi" w:eastAsiaTheme="majorEastAsia" w:hAnsiTheme="majorHAnsi" w:cstheme="majorBidi" w:ascii="Calibri" w:hAnsi="Calibri" w:eastAsia="Calibri"/>
      <w:b/>
      <w:bCs/>
      <w:color w:val="13315C"/>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Calibri" w:hAnsi="Calibri" w:eastAsia="Calibri"/>
      <w:b/>
      <w:bCs/>
      <w:color w:val="13787F"/>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386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eastAsia="Cambria"/>
      <w:color w:val="20242B"/>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Cambria" w:hAnsi="Cambria" w:eastAsia="Cambria"/>
      <w:color w:val="20242B"/>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AND PROFESSIONAL PROGRAMME CATALOGUE</dc:title>
  <dc:subject>Academic &amp; Professional Programme Catalogue</dc:subject>
  <dc:creator>RIYAADA Institute for Leadership &amp; Governance</dc:creator>
  <cp:keywords>RIYAADA, executive education, leadership, governance, health systems, professional programmes, Somalia</cp:keywords>
  <dc:description>RIYAADA Academy Academic and Professional Programme Catalogue, 2026 Edition.</dc:description>
  <cp:lastModifiedBy/>
  <cp:revision>1</cp:revision>
  <dcterms:created xsi:type="dcterms:W3CDTF">2013-12-23T23:15:00Z</dcterms:created>
  <dcterms:modified xsi:type="dcterms:W3CDTF">2013-12-23T23:15:00Z</dcterms:modified>
  <cp:category/>
</cp:coreProperties>
</file>